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502CD" w14:textId="00388B15" w:rsidR="00E97DFC" w:rsidRPr="00AD63F1" w:rsidRDefault="00AA704B" w:rsidP="00AD63F1">
      <w:pPr>
        <w:jc w:val="right"/>
        <w:rPr>
          <w:rFonts w:ascii="Arial" w:hAnsi="Arial" w:cs="Arial"/>
          <w:b/>
          <w:bCs/>
          <w:color w:val="000000"/>
          <w:sz w:val="20"/>
          <w:szCs w:val="20"/>
        </w:rPr>
      </w:pPr>
      <w:r>
        <w:rPr>
          <w:rFonts w:ascii="Arial" w:hAnsi="Arial" w:cs="Arial"/>
          <w:b/>
          <w:bCs/>
          <w:color w:val="000000"/>
          <w:sz w:val="20"/>
          <w:szCs w:val="20"/>
        </w:rPr>
        <w:t>FOR IMMEDIATE RELEASE</w:t>
      </w:r>
    </w:p>
    <w:p w14:paraId="63062E2B" w14:textId="77777777" w:rsidR="00AD63F1" w:rsidRDefault="00AD63F1" w:rsidP="00E97DFC">
      <w:pPr>
        <w:rPr>
          <w:rFonts w:ascii="Arial" w:hAnsi="Arial" w:cs="Arial"/>
          <w:b/>
          <w:bCs/>
          <w:color w:val="000000"/>
        </w:rPr>
      </w:pPr>
    </w:p>
    <w:p w14:paraId="1B843470" w14:textId="77777777" w:rsidR="00AD63F1" w:rsidRDefault="00AD63F1" w:rsidP="00E97DFC">
      <w:pPr>
        <w:jc w:val="center"/>
        <w:rPr>
          <w:rFonts w:ascii="Arial" w:hAnsi="Arial" w:cs="Arial"/>
          <w:b/>
          <w:bCs/>
          <w:color w:val="000000"/>
        </w:rPr>
      </w:pPr>
    </w:p>
    <w:p w14:paraId="0A792D72" w14:textId="0FF3EAD2" w:rsidR="00E97DFC" w:rsidRPr="00E97DFC" w:rsidRDefault="00E97DFC" w:rsidP="00E97DFC">
      <w:pPr>
        <w:jc w:val="center"/>
        <w:rPr>
          <w:rFonts w:ascii="Arial" w:hAnsi="Arial" w:cs="Arial"/>
          <w:b/>
          <w:bCs/>
          <w:color w:val="000000"/>
        </w:rPr>
      </w:pPr>
      <w:r w:rsidRPr="00E97DFC">
        <w:rPr>
          <w:rFonts w:ascii="Arial" w:hAnsi="Arial" w:cs="Arial"/>
          <w:b/>
          <w:bCs/>
          <w:color w:val="000000"/>
        </w:rPr>
        <w:t>Georgia Ranks 38th in the Nation for Child and Family Well-Being</w:t>
      </w:r>
    </w:p>
    <w:p w14:paraId="0ECDDB3B" w14:textId="24980844" w:rsidR="005D3F9B" w:rsidRDefault="005D3F9B" w:rsidP="00E97DFC">
      <w:pPr>
        <w:jc w:val="center"/>
        <w:rPr>
          <w:rFonts w:ascii="Arial" w:hAnsi="Arial" w:cs="Arial"/>
          <w:color w:val="000000" w:themeColor="text1"/>
          <w:sz w:val="22"/>
          <w:szCs w:val="22"/>
        </w:rPr>
      </w:pPr>
      <w:r w:rsidRPr="005D3F9B">
        <w:rPr>
          <w:rFonts w:ascii="Arial" w:hAnsi="Arial" w:cs="Arial"/>
          <w:color w:val="000000" w:themeColor="text1"/>
          <w:sz w:val="22"/>
          <w:szCs w:val="22"/>
        </w:rPr>
        <w:t>Georgia improve</w:t>
      </w:r>
      <w:r>
        <w:rPr>
          <w:rFonts w:ascii="Arial" w:hAnsi="Arial" w:cs="Arial"/>
          <w:color w:val="000000" w:themeColor="text1"/>
          <w:sz w:val="22"/>
          <w:szCs w:val="22"/>
        </w:rPr>
        <w:t>s</w:t>
      </w:r>
      <w:r w:rsidRPr="005D3F9B">
        <w:rPr>
          <w:rFonts w:ascii="Arial" w:hAnsi="Arial" w:cs="Arial"/>
          <w:color w:val="000000" w:themeColor="text1"/>
          <w:sz w:val="22"/>
          <w:szCs w:val="22"/>
        </w:rPr>
        <w:t xml:space="preserve"> on some economic indicators,</w:t>
      </w:r>
    </w:p>
    <w:p w14:paraId="22C61CBC" w14:textId="1A16C28A" w:rsidR="00E97DFC" w:rsidRPr="005D3F9B" w:rsidRDefault="005D3F9B" w:rsidP="00E97DFC">
      <w:pPr>
        <w:jc w:val="center"/>
        <w:rPr>
          <w:rFonts w:ascii="Arial" w:hAnsi="Arial" w:cs="Arial"/>
          <w:i/>
          <w:iCs/>
          <w:color w:val="000000"/>
          <w:sz w:val="20"/>
          <w:szCs w:val="20"/>
        </w:rPr>
      </w:pPr>
      <w:r>
        <w:rPr>
          <w:rFonts w:ascii="Arial" w:hAnsi="Arial" w:cs="Arial"/>
          <w:color w:val="000000" w:themeColor="text1"/>
          <w:sz w:val="22"/>
          <w:szCs w:val="22"/>
        </w:rPr>
        <w:t>loses</w:t>
      </w:r>
      <w:r w:rsidRPr="005D3F9B">
        <w:rPr>
          <w:rFonts w:ascii="Arial" w:hAnsi="Arial" w:cs="Arial"/>
          <w:color w:val="000000" w:themeColor="text1"/>
          <w:sz w:val="22"/>
          <w:szCs w:val="22"/>
        </w:rPr>
        <w:t xml:space="preserve"> ground or stall</w:t>
      </w:r>
      <w:r>
        <w:rPr>
          <w:rFonts w:ascii="Arial" w:hAnsi="Arial" w:cs="Arial"/>
          <w:color w:val="000000" w:themeColor="text1"/>
          <w:sz w:val="22"/>
          <w:szCs w:val="22"/>
        </w:rPr>
        <w:t>s</w:t>
      </w:r>
      <w:r w:rsidRPr="005D3F9B">
        <w:rPr>
          <w:rFonts w:ascii="Arial" w:hAnsi="Arial" w:cs="Arial"/>
          <w:color w:val="000000" w:themeColor="text1"/>
          <w:sz w:val="22"/>
          <w:szCs w:val="22"/>
        </w:rPr>
        <w:t xml:space="preserve"> on education indicators</w:t>
      </w:r>
    </w:p>
    <w:p w14:paraId="254925A0" w14:textId="77777777" w:rsidR="00E97DFC" w:rsidRPr="007D5B9B" w:rsidRDefault="00E97DFC" w:rsidP="00E97DFC">
      <w:pPr>
        <w:rPr>
          <w:sz w:val="22"/>
          <w:szCs w:val="22"/>
        </w:rPr>
      </w:pPr>
    </w:p>
    <w:p w14:paraId="741329CA" w14:textId="2F1C3DA4" w:rsidR="005D3F9B" w:rsidRPr="00CA79BC" w:rsidRDefault="00E97DFC" w:rsidP="005D3F9B">
      <w:pPr>
        <w:rPr>
          <w:color w:val="000000" w:themeColor="text1"/>
          <w:sz w:val="22"/>
          <w:szCs w:val="22"/>
        </w:rPr>
      </w:pPr>
      <w:r w:rsidRPr="00E97DFC">
        <w:rPr>
          <w:b/>
          <w:bCs/>
          <w:color w:val="000000"/>
          <w:sz w:val="22"/>
          <w:szCs w:val="22"/>
        </w:rPr>
        <w:t>ATLANTA</w:t>
      </w:r>
      <w:r w:rsidRPr="00E97DFC">
        <w:rPr>
          <w:color w:val="000000"/>
          <w:sz w:val="22"/>
          <w:szCs w:val="22"/>
        </w:rPr>
        <w:t>—</w:t>
      </w:r>
      <w:r w:rsidR="005D3F9B" w:rsidRPr="00CA79BC">
        <w:rPr>
          <w:color w:val="000000" w:themeColor="text1"/>
          <w:sz w:val="22"/>
          <w:szCs w:val="22"/>
        </w:rPr>
        <w:t xml:space="preserve">Georgia </w:t>
      </w:r>
      <w:r w:rsidR="005D3F9B">
        <w:rPr>
          <w:color w:val="000000" w:themeColor="text1"/>
          <w:sz w:val="22"/>
          <w:szCs w:val="22"/>
        </w:rPr>
        <w:t xml:space="preserve">again </w:t>
      </w:r>
      <w:r w:rsidR="005D3F9B" w:rsidRPr="00CA79BC">
        <w:rPr>
          <w:color w:val="000000" w:themeColor="text1"/>
          <w:sz w:val="22"/>
          <w:szCs w:val="22"/>
        </w:rPr>
        <w:t>ranks 38</w:t>
      </w:r>
      <w:r w:rsidR="005D3F9B" w:rsidRPr="00432A5B">
        <w:rPr>
          <w:color w:val="000000" w:themeColor="text1"/>
          <w:sz w:val="22"/>
          <w:szCs w:val="22"/>
        </w:rPr>
        <w:t>th</w:t>
      </w:r>
      <w:r w:rsidR="005D3F9B" w:rsidRPr="00CA79BC">
        <w:rPr>
          <w:color w:val="000000" w:themeColor="text1"/>
          <w:sz w:val="22"/>
          <w:szCs w:val="22"/>
        </w:rPr>
        <w:t xml:space="preserve"> in the nation in child and family well-being, according to the </w:t>
      </w:r>
      <w:r w:rsidR="005D3F9B">
        <w:rPr>
          <w:color w:val="000000" w:themeColor="text1"/>
          <w:sz w:val="22"/>
          <w:szCs w:val="22"/>
        </w:rPr>
        <w:t xml:space="preserve">2021 </w:t>
      </w:r>
      <w:r w:rsidR="005D3F9B" w:rsidRPr="00CA79BC">
        <w:rPr>
          <w:i/>
          <w:iCs/>
          <w:color w:val="000000" w:themeColor="text1"/>
          <w:sz w:val="22"/>
          <w:szCs w:val="22"/>
        </w:rPr>
        <w:t>KIDS COUNT</w:t>
      </w:r>
      <w:r w:rsidR="005D3F9B" w:rsidRPr="00CA79BC">
        <w:rPr>
          <w:i/>
          <w:iCs/>
          <w:color w:val="000000" w:themeColor="text1"/>
          <w:sz w:val="22"/>
          <w:szCs w:val="22"/>
          <w:vertAlign w:val="superscript"/>
        </w:rPr>
        <w:t>®</w:t>
      </w:r>
      <w:r w:rsidR="005D3F9B" w:rsidRPr="00CA79BC">
        <w:rPr>
          <w:i/>
          <w:iCs/>
          <w:color w:val="000000" w:themeColor="text1"/>
          <w:sz w:val="22"/>
          <w:szCs w:val="22"/>
        </w:rPr>
        <w:t xml:space="preserve"> Data Book</w:t>
      </w:r>
      <w:r w:rsidR="005D3F9B" w:rsidRPr="00CA79BC">
        <w:rPr>
          <w:color w:val="000000" w:themeColor="text1"/>
          <w:sz w:val="22"/>
          <w:szCs w:val="22"/>
        </w:rPr>
        <w:t xml:space="preserve">, released today by the Annie E. Casey Foundation. The annual report identifies areas where Georgia’s children </w:t>
      </w:r>
      <w:r w:rsidR="00BB445D">
        <w:rPr>
          <w:color w:val="000000" w:themeColor="text1"/>
          <w:sz w:val="22"/>
          <w:szCs w:val="22"/>
        </w:rPr>
        <w:t xml:space="preserve">face </w:t>
      </w:r>
      <w:r w:rsidR="005D3F9B" w:rsidRPr="00CA79BC">
        <w:rPr>
          <w:color w:val="000000" w:themeColor="text1"/>
          <w:sz w:val="22"/>
          <w:szCs w:val="22"/>
        </w:rPr>
        <w:t>struggle</w:t>
      </w:r>
      <w:r w:rsidR="00BB445D">
        <w:rPr>
          <w:color w:val="000000" w:themeColor="text1"/>
          <w:sz w:val="22"/>
          <w:szCs w:val="22"/>
        </w:rPr>
        <w:t>s</w:t>
      </w:r>
      <w:r w:rsidR="005D3F9B" w:rsidRPr="00CA79BC">
        <w:rPr>
          <w:color w:val="000000" w:themeColor="text1"/>
          <w:sz w:val="22"/>
          <w:szCs w:val="22"/>
        </w:rPr>
        <w:t xml:space="preserve"> </w:t>
      </w:r>
      <w:r w:rsidR="00BB445D">
        <w:rPr>
          <w:color w:val="000000" w:themeColor="text1"/>
          <w:sz w:val="22"/>
          <w:szCs w:val="22"/>
        </w:rPr>
        <w:t xml:space="preserve">and </w:t>
      </w:r>
      <w:r w:rsidR="00BB445D" w:rsidRPr="00CA79BC">
        <w:rPr>
          <w:color w:val="000000" w:themeColor="text1"/>
          <w:sz w:val="22"/>
          <w:szCs w:val="22"/>
        </w:rPr>
        <w:t xml:space="preserve">measures </w:t>
      </w:r>
      <w:r w:rsidR="00BB445D">
        <w:rPr>
          <w:color w:val="000000" w:themeColor="text1"/>
          <w:sz w:val="22"/>
          <w:szCs w:val="22"/>
        </w:rPr>
        <w:t>where they’re</w:t>
      </w:r>
      <w:r w:rsidR="005D3F9B" w:rsidRPr="00CA79BC">
        <w:rPr>
          <w:color w:val="000000" w:themeColor="text1"/>
          <w:sz w:val="22"/>
          <w:szCs w:val="22"/>
        </w:rPr>
        <w:t xml:space="preserve"> making progress across four domains: economic well-being</w:t>
      </w:r>
      <w:r w:rsidR="005D3F9B">
        <w:rPr>
          <w:color w:val="000000" w:themeColor="text1"/>
          <w:sz w:val="22"/>
          <w:szCs w:val="22"/>
        </w:rPr>
        <w:t xml:space="preserve">, </w:t>
      </w:r>
      <w:r w:rsidR="005D3F9B" w:rsidRPr="00CA79BC">
        <w:rPr>
          <w:color w:val="000000" w:themeColor="text1"/>
          <w:sz w:val="22"/>
          <w:szCs w:val="22"/>
        </w:rPr>
        <w:t>education</w:t>
      </w:r>
      <w:r w:rsidR="005D3F9B">
        <w:rPr>
          <w:color w:val="000000" w:themeColor="text1"/>
          <w:sz w:val="22"/>
          <w:szCs w:val="22"/>
        </w:rPr>
        <w:t>,</w:t>
      </w:r>
      <w:r w:rsidR="005D3F9B" w:rsidRPr="00CA79BC">
        <w:rPr>
          <w:color w:val="000000" w:themeColor="text1"/>
          <w:sz w:val="22"/>
          <w:szCs w:val="22"/>
        </w:rPr>
        <w:t xml:space="preserve"> family and community</w:t>
      </w:r>
      <w:r w:rsidR="005D3F9B">
        <w:rPr>
          <w:color w:val="000000" w:themeColor="text1"/>
          <w:sz w:val="22"/>
          <w:szCs w:val="22"/>
        </w:rPr>
        <w:t>,</w:t>
      </w:r>
      <w:r w:rsidR="005D3F9B" w:rsidRPr="00CA79BC">
        <w:rPr>
          <w:color w:val="000000" w:themeColor="text1"/>
          <w:sz w:val="22"/>
          <w:szCs w:val="22"/>
        </w:rPr>
        <w:t xml:space="preserve"> and health. </w:t>
      </w:r>
    </w:p>
    <w:p w14:paraId="1E3726EB" w14:textId="77777777" w:rsidR="005D3F9B" w:rsidRPr="00CA79BC" w:rsidRDefault="005D3F9B" w:rsidP="005D3F9B">
      <w:pPr>
        <w:rPr>
          <w:color w:val="000000" w:themeColor="text1"/>
          <w:sz w:val="22"/>
          <w:szCs w:val="22"/>
        </w:rPr>
      </w:pPr>
    </w:p>
    <w:p w14:paraId="44DCB4A7" w14:textId="77777777" w:rsidR="005D3F9B" w:rsidRPr="00CA79BC" w:rsidRDefault="005D3F9B" w:rsidP="005D3F9B">
      <w:pPr>
        <w:rPr>
          <w:color w:val="000000" w:themeColor="text1"/>
          <w:sz w:val="22"/>
          <w:szCs w:val="22"/>
        </w:rPr>
      </w:pPr>
      <w:r w:rsidRPr="00CA79BC">
        <w:rPr>
          <w:color w:val="000000" w:themeColor="text1"/>
          <w:sz w:val="22"/>
          <w:szCs w:val="22"/>
        </w:rPr>
        <w:t>The data in this year’s report are from 2019, so Georgia’s ranking does not reflect the unique challenges families have faced throughout the COVID-19 pandemic to remain healthy, to put food on the table, and for children to succeed in school. While Georgia’s overall rank remains unchanged from last year, some of the data points within each of the domains have changed. Georgia improved on some economic indicators, but lost ground or stalled on education indicators.</w:t>
      </w:r>
    </w:p>
    <w:p w14:paraId="620B35BF" w14:textId="77777777" w:rsidR="005D3F9B" w:rsidRPr="00CA79BC" w:rsidRDefault="005D3F9B" w:rsidP="005D3F9B">
      <w:pPr>
        <w:rPr>
          <w:color w:val="000000" w:themeColor="text1"/>
          <w:sz w:val="22"/>
          <w:szCs w:val="22"/>
        </w:rPr>
      </w:pPr>
    </w:p>
    <w:p w14:paraId="6319BA60" w14:textId="77777777" w:rsidR="005D3F9B" w:rsidRPr="00CA79BC" w:rsidRDefault="005D3F9B" w:rsidP="005D3F9B">
      <w:pPr>
        <w:rPr>
          <w:b/>
          <w:bCs/>
          <w:color w:val="000000" w:themeColor="text1"/>
          <w:sz w:val="22"/>
          <w:szCs w:val="22"/>
        </w:rPr>
      </w:pPr>
      <w:r w:rsidRPr="00CA79BC">
        <w:rPr>
          <w:b/>
          <w:bCs/>
          <w:color w:val="000000" w:themeColor="text1"/>
          <w:sz w:val="22"/>
          <w:szCs w:val="22"/>
        </w:rPr>
        <w:t>Economic Well-Being</w:t>
      </w:r>
    </w:p>
    <w:p w14:paraId="6D0FD47B" w14:textId="77777777" w:rsidR="005D3F9B" w:rsidRPr="00CA79BC" w:rsidRDefault="005D3F9B" w:rsidP="005D3F9B">
      <w:pPr>
        <w:rPr>
          <w:color w:val="000000" w:themeColor="text1"/>
          <w:sz w:val="22"/>
          <w:szCs w:val="22"/>
        </w:rPr>
      </w:pPr>
      <w:r w:rsidRPr="00CA79BC">
        <w:rPr>
          <w:color w:val="000000" w:themeColor="text1"/>
          <w:sz w:val="22"/>
          <w:szCs w:val="22"/>
        </w:rPr>
        <w:t>The data reveal that prior to the pandemic Georgia’s child poverty rate had dropped to 19%, down from a high of 27% in 2012 and 2013. The percentage of children living in households where no parent had full-time employment also decreased to 26% in 2019 from a high of 35% in 2011.</w:t>
      </w:r>
    </w:p>
    <w:p w14:paraId="13576A33" w14:textId="77777777" w:rsidR="005D3F9B" w:rsidRPr="00CA79BC" w:rsidRDefault="005D3F9B" w:rsidP="005D3F9B">
      <w:pPr>
        <w:rPr>
          <w:color w:val="000000" w:themeColor="text1"/>
          <w:sz w:val="22"/>
          <w:szCs w:val="22"/>
        </w:rPr>
      </w:pPr>
    </w:p>
    <w:p w14:paraId="1B91CF37" w14:textId="5BA74C9B" w:rsidR="005D3F9B" w:rsidRPr="00CA79BC" w:rsidRDefault="005D3F9B" w:rsidP="005D3F9B">
      <w:pPr>
        <w:rPr>
          <w:color w:val="000000" w:themeColor="text1"/>
          <w:sz w:val="22"/>
          <w:szCs w:val="22"/>
        </w:rPr>
      </w:pPr>
      <w:r w:rsidRPr="00CA79BC">
        <w:rPr>
          <w:color w:val="000000" w:themeColor="text1"/>
          <w:sz w:val="22"/>
          <w:szCs w:val="22"/>
        </w:rPr>
        <w:t xml:space="preserve">However, data collected this year from the Census Bureau’s Household Pulse Survey, which is a separate dataset from the indicators used to make the annual ranking, show that Georgia residents often struggled with financial security during the pandemic. As of March 2021, almost </w:t>
      </w:r>
      <w:r w:rsidR="0016519F">
        <w:rPr>
          <w:color w:val="000000" w:themeColor="text1"/>
          <w:sz w:val="22"/>
          <w:szCs w:val="22"/>
        </w:rPr>
        <w:t>1</w:t>
      </w:r>
      <w:r w:rsidRPr="00CA79BC">
        <w:rPr>
          <w:color w:val="000000" w:themeColor="text1"/>
          <w:sz w:val="22"/>
          <w:szCs w:val="22"/>
        </w:rPr>
        <w:t xml:space="preserve"> in </w:t>
      </w:r>
      <w:r w:rsidR="0016519F">
        <w:rPr>
          <w:color w:val="000000" w:themeColor="text1"/>
          <w:sz w:val="22"/>
          <w:szCs w:val="22"/>
        </w:rPr>
        <w:t>5</w:t>
      </w:r>
      <w:r w:rsidRPr="00CA79BC">
        <w:rPr>
          <w:color w:val="000000" w:themeColor="text1"/>
          <w:sz w:val="22"/>
          <w:szCs w:val="22"/>
        </w:rPr>
        <w:t xml:space="preserve"> Georgians had little or no confidence in their ability to make their next rent or mortgage payment on time, while 14% of Georgia households with children reported not having enough to eat “sometimes or often” in the past week.</w:t>
      </w:r>
    </w:p>
    <w:p w14:paraId="43C73CA8" w14:textId="77777777" w:rsidR="005D3F9B" w:rsidRPr="00CA79BC" w:rsidRDefault="005D3F9B" w:rsidP="005D3F9B">
      <w:pPr>
        <w:rPr>
          <w:color w:val="000000" w:themeColor="text1"/>
          <w:sz w:val="22"/>
          <w:szCs w:val="22"/>
        </w:rPr>
      </w:pPr>
    </w:p>
    <w:p w14:paraId="4D6EE467" w14:textId="77777777" w:rsidR="005D3F9B" w:rsidRPr="00CA79BC" w:rsidRDefault="005D3F9B" w:rsidP="005D3F9B">
      <w:pPr>
        <w:rPr>
          <w:color w:val="000000" w:themeColor="text1"/>
          <w:sz w:val="22"/>
          <w:szCs w:val="22"/>
        </w:rPr>
      </w:pPr>
      <w:r w:rsidRPr="00CA79BC">
        <w:rPr>
          <w:b/>
          <w:bCs/>
          <w:color w:val="000000" w:themeColor="text1"/>
          <w:sz w:val="22"/>
          <w:szCs w:val="22"/>
        </w:rPr>
        <w:t>Education</w:t>
      </w:r>
    </w:p>
    <w:p w14:paraId="323D286C" w14:textId="77777777" w:rsidR="005D3F9B" w:rsidRPr="00CA79BC" w:rsidRDefault="005D3F9B" w:rsidP="005D3F9B">
      <w:pPr>
        <w:rPr>
          <w:color w:val="000000" w:themeColor="text1"/>
          <w:sz w:val="22"/>
          <w:szCs w:val="22"/>
        </w:rPr>
      </w:pPr>
      <w:r w:rsidRPr="00CA79BC">
        <w:rPr>
          <w:color w:val="000000" w:themeColor="text1"/>
          <w:sz w:val="22"/>
          <w:szCs w:val="22"/>
        </w:rPr>
        <w:t xml:space="preserve">Prior to the pandemic, Georgia’s recent gains in educational attainment were slowing down, with 69% of </w:t>
      </w:r>
      <w:r>
        <w:rPr>
          <w:color w:val="000000" w:themeColor="text1"/>
          <w:sz w:val="22"/>
          <w:szCs w:val="22"/>
        </w:rPr>
        <w:t>eighth-</w:t>
      </w:r>
      <w:r w:rsidRPr="00CA79BC">
        <w:rPr>
          <w:color w:val="000000" w:themeColor="text1"/>
          <w:sz w:val="22"/>
          <w:szCs w:val="22"/>
        </w:rPr>
        <w:t xml:space="preserve">grade students scoring below proficient in math, the same as last year, and 68% of </w:t>
      </w:r>
      <w:r>
        <w:rPr>
          <w:color w:val="000000" w:themeColor="text1"/>
          <w:sz w:val="22"/>
          <w:szCs w:val="22"/>
        </w:rPr>
        <w:t>fourth-</w:t>
      </w:r>
      <w:r w:rsidRPr="00CA79BC">
        <w:rPr>
          <w:color w:val="000000" w:themeColor="text1"/>
          <w:sz w:val="22"/>
          <w:szCs w:val="22"/>
        </w:rPr>
        <w:t xml:space="preserve">grade students scoring below proficient in reading, </w:t>
      </w:r>
      <w:r>
        <w:rPr>
          <w:color w:val="000000" w:themeColor="text1"/>
          <w:sz w:val="22"/>
          <w:szCs w:val="22"/>
        </w:rPr>
        <w:t>three</w:t>
      </w:r>
      <w:r w:rsidRPr="00CA79BC">
        <w:rPr>
          <w:color w:val="000000" w:themeColor="text1"/>
          <w:sz w:val="22"/>
          <w:szCs w:val="22"/>
        </w:rPr>
        <w:t xml:space="preserve"> percentage points worse than the prior year.</w:t>
      </w:r>
    </w:p>
    <w:p w14:paraId="6F448B60" w14:textId="77777777" w:rsidR="005D3F9B" w:rsidRPr="00CA79BC" w:rsidRDefault="005D3F9B" w:rsidP="005D3F9B">
      <w:pPr>
        <w:rPr>
          <w:color w:val="000000" w:themeColor="text1"/>
          <w:sz w:val="22"/>
          <w:szCs w:val="22"/>
        </w:rPr>
      </w:pPr>
    </w:p>
    <w:p w14:paraId="33A3E167" w14:textId="77777777" w:rsidR="005D3F9B" w:rsidRPr="00CA79BC" w:rsidRDefault="005D3F9B" w:rsidP="005D3F9B">
      <w:pPr>
        <w:rPr>
          <w:sz w:val="22"/>
          <w:szCs w:val="22"/>
        </w:rPr>
      </w:pPr>
      <w:r>
        <w:rPr>
          <w:sz w:val="22"/>
          <w:szCs w:val="22"/>
        </w:rPr>
        <w:t>“I</w:t>
      </w:r>
      <w:r w:rsidRPr="00CA79BC">
        <w:rPr>
          <w:sz w:val="22"/>
          <w:szCs w:val="22"/>
        </w:rPr>
        <w:t xml:space="preserve">ssues that underlie reading proficiency are systemic, entrenched, </w:t>
      </w:r>
      <w:r>
        <w:rPr>
          <w:sz w:val="22"/>
          <w:szCs w:val="22"/>
        </w:rPr>
        <w:t xml:space="preserve">and they intersect, </w:t>
      </w:r>
      <w:r w:rsidRPr="00CA79BC">
        <w:rPr>
          <w:sz w:val="22"/>
          <w:szCs w:val="22"/>
        </w:rPr>
        <w:t>which is why we continue to mobilize and support community, business leadership</w:t>
      </w:r>
      <w:r>
        <w:rPr>
          <w:sz w:val="22"/>
          <w:szCs w:val="22"/>
        </w:rPr>
        <w:t>,</w:t>
      </w:r>
      <w:r w:rsidRPr="00CA79BC">
        <w:rPr>
          <w:sz w:val="22"/>
          <w:szCs w:val="22"/>
        </w:rPr>
        <w:t xml:space="preserve"> and other partners to take a holistic approach rather than focusing solely on the school system</w:t>
      </w:r>
      <w:r>
        <w:rPr>
          <w:sz w:val="22"/>
          <w:szCs w:val="22"/>
        </w:rPr>
        <w:t>,” said Get Georgia Reading—Campaign for Grade-Level Reading Director Arianne Weldon</w:t>
      </w:r>
      <w:r w:rsidRPr="00CA79BC">
        <w:rPr>
          <w:sz w:val="22"/>
          <w:szCs w:val="22"/>
        </w:rPr>
        <w:t>. </w:t>
      </w:r>
      <w:r>
        <w:rPr>
          <w:sz w:val="22"/>
          <w:szCs w:val="22"/>
        </w:rPr>
        <w:t>“T</w:t>
      </w:r>
      <w:r w:rsidRPr="00CA79BC">
        <w:rPr>
          <w:sz w:val="22"/>
          <w:szCs w:val="22"/>
        </w:rPr>
        <w:t>his requires a long</w:t>
      </w:r>
      <w:r>
        <w:rPr>
          <w:sz w:val="22"/>
          <w:szCs w:val="22"/>
        </w:rPr>
        <w:t>-</w:t>
      </w:r>
      <w:r w:rsidRPr="00CA79BC">
        <w:rPr>
          <w:sz w:val="22"/>
          <w:szCs w:val="22"/>
        </w:rPr>
        <w:t>term effort</w:t>
      </w:r>
      <w:r>
        <w:rPr>
          <w:sz w:val="22"/>
          <w:szCs w:val="22"/>
        </w:rPr>
        <w:t>. W</w:t>
      </w:r>
      <w:r w:rsidRPr="00CA79BC">
        <w:rPr>
          <w:sz w:val="22"/>
          <w:szCs w:val="22"/>
        </w:rPr>
        <w:t>e know and understand that there will be ebbs and flow</w:t>
      </w:r>
      <w:r>
        <w:rPr>
          <w:sz w:val="22"/>
          <w:szCs w:val="22"/>
        </w:rPr>
        <w:t>s, b</w:t>
      </w:r>
      <w:r w:rsidRPr="00CA79BC">
        <w:rPr>
          <w:sz w:val="22"/>
          <w:szCs w:val="22"/>
        </w:rPr>
        <w:t xml:space="preserve">ut as we </w:t>
      </w:r>
      <w:r w:rsidRPr="005D3F9B">
        <w:rPr>
          <w:color w:val="000000" w:themeColor="text1"/>
          <w:sz w:val="22"/>
          <w:szCs w:val="22"/>
        </w:rPr>
        <w:t>dig</w:t>
      </w:r>
      <w:r w:rsidRPr="00CA79BC">
        <w:rPr>
          <w:color w:val="FF0000"/>
          <w:sz w:val="22"/>
          <w:szCs w:val="22"/>
        </w:rPr>
        <w:t xml:space="preserve"> </w:t>
      </w:r>
      <w:r w:rsidRPr="00CA79BC">
        <w:rPr>
          <w:sz w:val="22"/>
          <w:szCs w:val="22"/>
        </w:rPr>
        <w:t xml:space="preserve">ourselves out of the </w:t>
      </w:r>
      <w:r>
        <w:rPr>
          <w:sz w:val="22"/>
          <w:szCs w:val="22"/>
        </w:rPr>
        <w:t xml:space="preserve">hole this </w:t>
      </w:r>
      <w:r w:rsidRPr="00CA79BC">
        <w:rPr>
          <w:sz w:val="22"/>
          <w:szCs w:val="22"/>
        </w:rPr>
        <w:t>pandemic</w:t>
      </w:r>
      <w:r>
        <w:rPr>
          <w:sz w:val="22"/>
          <w:szCs w:val="22"/>
        </w:rPr>
        <w:t xml:space="preserve"> has caused for our most vulnerable kids</w:t>
      </w:r>
      <w:r w:rsidRPr="00CA79BC">
        <w:rPr>
          <w:sz w:val="22"/>
          <w:szCs w:val="22"/>
        </w:rPr>
        <w:t xml:space="preserve">, it’s our best shot at ensuring access to a higher quality of life in adulthood for </w:t>
      </w:r>
      <w:r>
        <w:rPr>
          <w:sz w:val="22"/>
          <w:szCs w:val="22"/>
        </w:rPr>
        <w:t>them</w:t>
      </w:r>
      <w:r w:rsidRPr="00CA79BC">
        <w:rPr>
          <w:sz w:val="22"/>
          <w:szCs w:val="22"/>
        </w:rPr>
        <w:t>.</w:t>
      </w:r>
      <w:r>
        <w:rPr>
          <w:sz w:val="22"/>
          <w:szCs w:val="22"/>
        </w:rPr>
        <w:t>”</w:t>
      </w:r>
    </w:p>
    <w:p w14:paraId="310B0C41" w14:textId="77777777" w:rsidR="005D3F9B" w:rsidRPr="00CA79BC" w:rsidRDefault="005D3F9B" w:rsidP="005D3F9B">
      <w:pPr>
        <w:rPr>
          <w:color w:val="000000" w:themeColor="text1"/>
          <w:sz w:val="22"/>
          <w:szCs w:val="22"/>
        </w:rPr>
      </w:pPr>
    </w:p>
    <w:p w14:paraId="0FE1D94E" w14:textId="77777777" w:rsidR="005D3F9B" w:rsidRDefault="005D3F9B" w:rsidP="005D3F9B">
      <w:pPr>
        <w:rPr>
          <w:color w:val="000000" w:themeColor="text1"/>
          <w:sz w:val="22"/>
          <w:szCs w:val="22"/>
        </w:rPr>
      </w:pPr>
      <w:r w:rsidRPr="00CA79BC">
        <w:rPr>
          <w:color w:val="000000" w:themeColor="text1"/>
          <w:sz w:val="22"/>
          <w:szCs w:val="22"/>
        </w:rPr>
        <w:lastRenderedPageBreak/>
        <w:t>The Household Pulse Survey also showed that the lockdown to limit the virus’s spread created barriers to educational progress for Georgia students and educators. According to surveys conducted in March, 17% of students did not usually or always have internet and access to a computer or digital device for remote learning—the primary mode of education this past school year.</w:t>
      </w:r>
    </w:p>
    <w:p w14:paraId="665A47F2" w14:textId="77777777" w:rsidR="005D3F9B" w:rsidRDefault="005D3F9B" w:rsidP="005D3F9B">
      <w:pPr>
        <w:rPr>
          <w:color w:val="000000" w:themeColor="text1"/>
          <w:sz w:val="22"/>
          <w:szCs w:val="22"/>
        </w:rPr>
      </w:pPr>
    </w:p>
    <w:p w14:paraId="3086FB1D" w14:textId="53F3FF52" w:rsidR="005D3F9B" w:rsidRPr="00CA79BC" w:rsidRDefault="005D3F9B" w:rsidP="005D3F9B">
      <w:pPr>
        <w:rPr>
          <w:color w:val="000000" w:themeColor="text1"/>
          <w:sz w:val="22"/>
          <w:szCs w:val="22"/>
        </w:rPr>
      </w:pPr>
      <w:r w:rsidRPr="00CA79BC">
        <w:rPr>
          <w:color w:val="000000" w:themeColor="text1"/>
          <w:sz w:val="22"/>
          <w:szCs w:val="22"/>
        </w:rPr>
        <w:t>“Over the past decade, Georgia has strategically invested in and expanded upon a strong foundation in its early learning system and a focus on grade</w:t>
      </w:r>
      <w:r w:rsidR="00432A5B">
        <w:rPr>
          <w:color w:val="000000" w:themeColor="text1"/>
          <w:sz w:val="22"/>
          <w:szCs w:val="22"/>
        </w:rPr>
        <w:t>-</w:t>
      </w:r>
      <w:r w:rsidRPr="00CA79BC">
        <w:rPr>
          <w:color w:val="000000" w:themeColor="text1"/>
          <w:sz w:val="22"/>
          <w:szCs w:val="22"/>
        </w:rPr>
        <w:t xml:space="preserve">level reading,” said Georgia Partnership for Excellence in Education President Dana Rickman. “We steadily improved reading outcomes over </w:t>
      </w:r>
      <w:r>
        <w:rPr>
          <w:color w:val="000000" w:themeColor="text1"/>
          <w:sz w:val="22"/>
          <w:szCs w:val="22"/>
        </w:rPr>
        <w:t>several years</w:t>
      </w:r>
      <w:r w:rsidRPr="00CA79BC">
        <w:rPr>
          <w:color w:val="000000" w:themeColor="text1"/>
          <w:sz w:val="22"/>
          <w:szCs w:val="22"/>
        </w:rPr>
        <w:t xml:space="preserve">. We should celebrate this achievement, while also remaining clear-eyed about more work to be done to ensure that all young children in Georgia, particularly those living in poverty and rural communities, have access to high-quality early learning programs and ongoing support through the K-12 system. Looking ahead to the next decade, Georgia must continue to invest in the tools, shared data platforms, and cross-agency collaboration to ensure </w:t>
      </w:r>
      <w:r>
        <w:rPr>
          <w:color w:val="000000" w:themeColor="text1"/>
          <w:sz w:val="22"/>
          <w:szCs w:val="22"/>
        </w:rPr>
        <w:t xml:space="preserve">that </w:t>
      </w:r>
      <w:r w:rsidRPr="00CA79BC">
        <w:rPr>
          <w:color w:val="000000" w:themeColor="text1"/>
          <w:sz w:val="22"/>
          <w:szCs w:val="22"/>
        </w:rPr>
        <w:t>the gains made by children participating in high-quality early learning programs don’t fade or disappear completely.”</w:t>
      </w:r>
    </w:p>
    <w:p w14:paraId="455C461A" w14:textId="77777777" w:rsidR="005D3F9B" w:rsidRPr="00CA79BC" w:rsidRDefault="005D3F9B" w:rsidP="005D3F9B">
      <w:pPr>
        <w:rPr>
          <w:color w:val="000000" w:themeColor="text1"/>
          <w:sz w:val="22"/>
          <w:szCs w:val="22"/>
        </w:rPr>
      </w:pPr>
    </w:p>
    <w:p w14:paraId="7FFA209E" w14:textId="77777777" w:rsidR="005D3F9B" w:rsidRPr="00CA79BC" w:rsidRDefault="005D3F9B" w:rsidP="005D3F9B">
      <w:pPr>
        <w:rPr>
          <w:color w:val="000000" w:themeColor="text1"/>
          <w:sz w:val="22"/>
          <w:szCs w:val="22"/>
        </w:rPr>
      </w:pPr>
      <w:r w:rsidRPr="00CA79BC">
        <w:rPr>
          <w:b/>
          <w:bCs/>
          <w:color w:val="000000" w:themeColor="text1"/>
          <w:sz w:val="22"/>
          <w:szCs w:val="22"/>
        </w:rPr>
        <w:t>Health</w:t>
      </w:r>
    </w:p>
    <w:p w14:paraId="39C2510C" w14:textId="77777777" w:rsidR="005D3F9B" w:rsidRPr="00CA79BC" w:rsidRDefault="005D3F9B" w:rsidP="005D3F9B">
      <w:pPr>
        <w:rPr>
          <w:color w:val="000000" w:themeColor="text1"/>
          <w:sz w:val="22"/>
          <w:szCs w:val="22"/>
        </w:rPr>
      </w:pPr>
      <w:r w:rsidRPr="00CA79BC">
        <w:rPr>
          <w:color w:val="000000" w:themeColor="text1"/>
          <w:sz w:val="22"/>
          <w:szCs w:val="22"/>
        </w:rPr>
        <w:t xml:space="preserve">Georgia’s rate of low birthweight babies plateaued pre-pandemic after increasing for the past several years. Low birthweight births are defined as infants weighing less than 5.5 pounds at birth, with low birthweight being the single greatest predictor of infant mortality within the first year of life. </w:t>
      </w:r>
    </w:p>
    <w:p w14:paraId="6EAC18BE" w14:textId="77777777" w:rsidR="005D3F9B" w:rsidRPr="00CA79BC" w:rsidRDefault="005D3F9B" w:rsidP="005D3F9B">
      <w:pPr>
        <w:rPr>
          <w:color w:val="000000" w:themeColor="text1"/>
          <w:sz w:val="22"/>
          <w:szCs w:val="22"/>
        </w:rPr>
      </w:pPr>
    </w:p>
    <w:p w14:paraId="7783E2D3" w14:textId="3C32C61A" w:rsidR="005D3F9B" w:rsidRDefault="007B788F" w:rsidP="005D3F9B">
      <w:pPr>
        <w:rPr>
          <w:color w:val="000000" w:themeColor="text1"/>
          <w:sz w:val="22"/>
          <w:szCs w:val="22"/>
          <w:shd w:val="clear" w:color="auto" w:fill="FFFFFF"/>
        </w:rPr>
      </w:pPr>
      <w:r w:rsidRPr="00A0092F">
        <w:rPr>
          <w:color w:val="000000"/>
          <w:sz w:val="22"/>
          <w:szCs w:val="22"/>
        </w:rPr>
        <w:t xml:space="preserve">“While </w:t>
      </w:r>
      <w:r>
        <w:rPr>
          <w:color w:val="000000"/>
          <w:sz w:val="22"/>
          <w:szCs w:val="22"/>
        </w:rPr>
        <w:t>this is encouraging news</w:t>
      </w:r>
      <w:r w:rsidRPr="00A0092F">
        <w:rPr>
          <w:color w:val="000000"/>
          <w:sz w:val="22"/>
          <w:szCs w:val="22"/>
        </w:rPr>
        <w:t>, there’s still a long way to go to foster healthier outcomes for babies in our state</w:t>
      </w:r>
      <w:r>
        <w:rPr>
          <w:color w:val="000000"/>
          <w:sz w:val="22"/>
          <w:szCs w:val="22"/>
        </w:rPr>
        <w:t>,” said Healthy Mothers, Healthy Babies Coalition of Georgia Executive Director Ky Lindberg</w:t>
      </w:r>
      <w:r w:rsidRPr="00A0092F">
        <w:rPr>
          <w:color w:val="000000"/>
          <w:sz w:val="22"/>
          <w:szCs w:val="22"/>
        </w:rPr>
        <w:t xml:space="preserve">. </w:t>
      </w:r>
      <w:r>
        <w:rPr>
          <w:color w:val="000000"/>
          <w:sz w:val="22"/>
          <w:szCs w:val="22"/>
        </w:rPr>
        <w:t>“P</w:t>
      </w:r>
      <w:r w:rsidRPr="00A0092F">
        <w:rPr>
          <w:color w:val="000000"/>
          <w:sz w:val="22"/>
          <w:szCs w:val="22"/>
        </w:rPr>
        <w:t xml:space="preserve">reterm labor, chronic health conditions, fetal growth restrictions, and a myriad of factors contribute to low birthweight. </w:t>
      </w:r>
      <w:r>
        <w:rPr>
          <w:color w:val="000000" w:themeColor="text1"/>
          <w:sz w:val="22"/>
          <w:szCs w:val="22"/>
          <w:shd w:val="clear" w:color="auto" w:fill="FFFFFF"/>
        </w:rPr>
        <w:t>We</w:t>
      </w:r>
      <w:r w:rsidRPr="00A0092F">
        <w:rPr>
          <w:color w:val="000000" w:themeColor="text1"/>
          <w:sz w:val="22"/>
          <w:szCs w:val="22"/>
          <w:shd w:val="clear" w:color="auto" w:fill="FFFFFF"/>
        </w:rPr>
        <w:t xml:space="preserve"> </w:t>
      </w:r>
      <w:r>
        <w:rPr>
          <w:color w:val="000000" w:themeColor="text1"/>
          <w:sz w:val="22"/>
          <w:szCs w:val="22"/>
          <w:shd w:val="clear" w:color="auto" w:fill="FFFFFF"/>
        </w:rPr>
        <w:t xml:space="preserve">must </w:t>
      </w:r>
      <w:r w:rsidRPr="00A0092F">
        <w:rPr>
          <w:color w:val="000000" w:themeColor="text1"/>
          <w:sz w:val="22"/>
          <w:szCs w:val="22"/>
          <w:shd w:val="clear" w:color="auto" w:fill="FFFFFF"/>
        </w:rPr>
        <w:t>increase access to</w:t>
      </w:r>
      <w:r>
        <w:rPr>
          <w:color w:val="000000" w:themeColor="text1"/>
          <w:sz w:val="22"/>
          <w:szCs w:val="22"/>
          <w:shd w:val="clear" w:color="auto" w:fill="FFFFFF"/>
        </w:rPr>
        <w:t>,</w:t>
      </w:r>
      <w:r w:rsidRPr="00A0092F">
        <w:rPr>
          <w:color w:val="000000" w:themeColor="text1"/>
          <w:sz w:val="22"/>
          <w:szCs w:val="22"/>
          <w:shd w:val="clear" w:color="auto" w:fill="FFFFFF"/>
        </w:rPr>
        <w:t xml:space="preserve"> and participation in</w:t>
      </w:r>
      <w:r>
        <w:rPr>
          <w:color w:val="000000" w:themeColor="text1"/>
          <w:sz w:val="22"/>
          <w:szCs w:val="22"/>
          <w:shd w:val="clear" w:color="auto" w:fill="FFFFFF"/>
        </w:rPr>
        <w:t>,</w:t>
      </w:r>
      <w:r w:rsidRPr="00A0092F">
        <w:rPr>
          <w:color w:val="000000" w:themeColor="text1"/>
          <w:sz w:val="22"/>
          <w:szCs w:val="22"/>
          <w:shd w:val="clear" w:color="auto" w:fill="FFFFFF"/>
        </w:rPr>
        <w:t xml:space="preserve"> high</w:t>
      </w:r>
      <w:r>
        <w:rPr>
          <w:color w:val="000000" w:themeColor="text1"/>
          <w:sz w:val="22"/>
          <w:szCs w:val="22"/>
          <w:shd w:val="clear" w:color="auto" w:fill="FFFFFF"/>
        </w:rPr>
        <w:t>-</w:t>
      </w:r>
      <w:r w:rsidRPr="00A0092F">
        <w:rPr>
          <w:color w:val="000000" w:themeColor="text1"/>
          <w:sz w:val="22"/>
          <w:szCs w:val="22"/>
          <w:shd w:val="clear" w:color="auto" w:fill="FFFFFF"/>
        </w:rPr>
        <w:t xml:space="preserve">quality prenatal care and education for all birth givers. </w:t>
      </w:r>
      <w:r>
        <w:rPr>
          <w:color w:val="000000" w:themeColor="text1"/>
          <w:sz w:val="22"/>
          <w:szCs w:val="22"/>
          <w:shd w:val="clear" w:color="auto" w:fill="FFFFFF"/>
        </w:rPr>
        <w:t>G</w:t>
      </w:r>
      <w:r w:rsidRPr="00A0092F">
        <w:rPr>
          <w:color w:val="000000" w:themeColor="text1"/>
          <w:sz w:val="22"/>
          <w:szCs w:val="22"/>
          <w:shd w:val="clear" w:color="auto" w:fill="FFFFFF"/>
        </w:rPr>
        <w:t>iven the limited access to prenatal care across rural Georgia and the disproportionate quality of care women of color</w:t>
      </w:r>
      <w:r>
        <w:rPr>
          <w:color w:val="000000" w:themeColor="text1"/>
          <w:sz w:val="22"/>
          <w:szCs w:val="22"/>
          <w:shd w:val="clear" w:color="auto" w:fill="FFFFFF"/>
        </w:rPr>
        <w:t xml:space="preserve"> receive</w:t>
      </w:r>
      <w:r w:rsidRPr="00A0092F">
        <w:rPr>
          <w:color w:val="000000" w:themeColor="text1"/>
          <w:sz w:val="22"/>
          <w:szCs w:val="22"/>
          <w:shd w:val="clear" w:color="auto" w:fill="FFFFFF"/>
        </w:rPr>
        <w:t xml:space="preserve">, we can increase access to vital prenatal care and education through collaborative cross-sector partnerships and </w:t>
      </w:r>
      <w:r>
        <w:rPr>
          <w:color w:val="000000" w:themeColor="text1"/>
          <w:sz w:val="22"/>
          <w:szCs w:val="22"/>
          <w:shd w:val="clear" w:color="auto" w:fill="FFFFFF"/>
        </w:rPr>
        <w:t xml:space="preserve">by </w:t>
      </w:r>
      <w:r w:rsidRPr="00A0092F">
        <w:rPr>
          <w:color w:val="000000" w:themeColor="text1"/>
          <w:sz w:val="22"/>
          <w:szCs w:val="22"/>
          <w:shd w:val="clear" w:color="auto" w:fill="FFFFFF"/>
        </w:rPr>
        <w:t>disseminat</w:t>
      </w:r>
      <w:r>
        <w:rPr>
          <w:color w:val="000000" w:themeColor="text1"/>
          <w:sz w:val="22"/>
          <w:szCs w:val="22"/>
          <w:shd w:val="clear" w:color="auto" w:fill="FFFFFF"/>
        </w:rPr>
        <w:t>ing</w:t>
      </w:r>
      <w:r w:rsidRPr="00A0092F">
        <w:rPr>
          <w:color w:val="000000" w:themeColor="text1"/>
          <w:sz w:val="22"/>
          <w:szCs w:val="22"/>
          <w:shd w:val="clear" w:color="auto" w:fill="FFFFFF"/>
        </w:rPr>
        <w:t xml:space="preserve"> evidence-based programs</w:t>
      </w:r>
      <w:r>
        <w:rPr>
          <w:color w:val="000000" w:themeColor="text1"/>
          <w:sz w:val="22"/>
          <w:szCs w:val="22"/>
          <w:shd w:val="clear" w:color="auto" w:fill="FFFFFF"/>
        </w:rPr>
        <w:t>.”</w:t>
      </w:r>
    </w:p>
    <w:p w14:paraId="0E0A1007" w14:textId="77777777" w:rsidR="007B788F" w:rsidRPr="00CA79BC" w:rsidRDefault="007B788F" w:rsidP="005D3F9B">
      <w:pPr>
        <w:rPr>
          <w:color w:val="000000" w:themeColor="text1"/>
          <w:sz w:val="22"/>
          <w:szCs w:val="22"/>
        </w:rPr>
      </w:pPr>
    </w:p>
    <w:p w14:paraId="19A1A29B" w14:textId="7C47EC0F" w:rsidR="005D3F9B" w:rsidRPr="00CA79BC" w:rsidRDefault="005D3F9B" w:rsidP="005D3F9B">
      <w:pPr>
        <w:rPr>
          <w:color w:val="000000" w:themeColor="text1"/>
          <w:sz w:val="22"/>
          <w:szCs w:val="22"/>
        </w:rPr>
      </w:pPr>
      <w:r w:rsidRPr="00CA79BC">
        <w:rPr>
          <w:color w:val="000000" w:themeColor="text1"/>
          <w:sz w:val="22"/>
          <w:szCs w:val="22"/>
        </w:rPr>
        <w:t>The data also showed that 7% of Georgia</w:t>
      </w:r>
      <w:r w:rsidR="00432A5B">
        <w:rPr>
          <w:color w:val="000000" w:themeColor="text1"/>
          <w:sz w:val="22"/>
          <w:szCs w:val="22"/>
        </w:rPr>
        <w:t>’s</w:t>
      </w:r>
      <w:r w:rsidRPr="00CA79BC">
        <w:rPr>
          <w:color w:val="000000" w:themeColor="text1"/>
          <w:sz w:val="22"/>
          <w:szCs w:val="22"/>
        </w:rPr>
        <w:t xml:space="preserve"> children did not have health insurance as of 2019, down from a high of 10% in 2010, but worse than the national average of 6%. During the pandemic, 14% of Georgia adults living in households with children reported not having health insurance, at a time when access to health care was critical. The pandemic also affected mental health, with 20% of Georgia adults in households with children reporting feeling down, depressed, or hopeless. </w:t>
      </w:r>
    </w:p>
    <w:p w14:paraId="5845B770" w14:textId="77777777" w:rsidR="005D3F9B" w:rsidRPr="00CA79BC" w:rsidRDefault="005D3F9B" w:rsidP="005D3F9B">
      <w:pPr>
        <w:rPr>
          <w:color w:val="000000" w:themeColor="text1"/>
          <w:sz w:val="22"/>
          <w:szCs w:val="22"/>
        </w:rPr>
      </w:pPr>
    </w:p>
    <w:p w14:paraId="059B1A4F" w14:textId="77777777" w:rsidR="005D3F9B" w:rsidRPr="00CA79BC" w:rsidRDefault="005D3F9B" w:rsidP="005D3F9B">
      <w:pPr>
        <w:rPr>
          <w:b/>
          <w:bCs/>
          <w:color w:val="000000" w:themeColor="text1"/>
          <w:sz w:val="22"/>
          <w:szCs w:val="22"/>
        </w:rPr>
      </w:pPr>
      <w:r w:rsidRPr="00CA79BC">
        <w:rPr>
          <w:b/>
          <w:bCs/>
          <w:color w:val="000000" w:themeColor="text1"/>
          <w:sz w:val="22"/>
          <w:szCs w:val="22"/>
        </w:rPr>
        <w:t>Family and Community</w:t>
      </w:r>
    </w:p>
    <w:p w14:paraId="2A4CFB47" w14:textId="54797850" w:rsidR="005D3F9B" w:rsidRPr="00CA79BC" w:rsidRDefault="005D3F9B" w:rsidP="005D3F9B">
      <w:pPr>
        <w:rPr>
          <w:color w:val="000000" w:themeColor="text1"/>
          <w:sz w:val="22"/>
          <w:szCs w:val="22"/>
        </w:rPr>
      </w:pPr>
      <w:r w:rsidRPr="00CA79BC">
        <w:rPr>
          <w:color w:val="000000" w:themeColor="text1"/>
          <w:sz w:val="22"/>
          <w:szCs w:val="22"/>
        </w:rPr>
        <w:t>The rate of children living in high</w:t>
      </w:r>
      <w:r>
        <w:rPr>
          <w:color w:val="000000" w:themeColor="text1"/>
          <w:sz w:val="22"/>
          <w:szCs w:val="22"/>
        </w:rPr>
        <w:t xml:space="preserve"> </w:t>
      </w:r>
      <w:r w:rsidRPr="00CA79BC">
        <w:rPr>
          <w:color w:val="000000" w:themeColor="text1"/>
          <w:sz w:val="22"/>
          <w:szCs w:val="22"/>
        </w:rPr>
        <w:t xml:space="preserve">poverty areas prior to the pandemic fell to 9%, down from a high of 17% in </w:t>
      </w:r>
      <w:r>
        <w:rPr>
          <w:color w:val="000000" w:themeColor="text1"/>
          <w:sz w:val="22"/>
          <w:szCs w:val="22"/>
        </w:rPr>
        <w:t xml:space="preserve">2011 through </w:t>
      </w:r>
      <w:r w:rsidRPr="00CA79BC">
        <w:rPr>
          <w:color w:val="000000" w:themeColor="text1"/>
          <w:sz w:val="22"/>
          <w:szCs w:val="22"/>
        </w:rPr>
        <w:t>2015. While the child poverty rate speaks to individual children and families, the rate of children living in high</w:t>
      </w:r>
      <w:r>
        <w:rPr>
          <w:color w:val="000000" w:themeColor="text1"/>
          <w:sz w:val="22"/>
          <w:szCs w:val="22"/>
        </w:rPr>
        <w:t xml:space="preserve"> </w:t>
      </w:r>
      <w:r w:rsidRPr="00CA79BC">
        <w:rPr>
          <w:color w:val="000000" w:themeColor="text1"/>
          <w:sz w:val="22"/>
          <w:szCs w:val="22"/>
        </w:rPr>
        <w:t>poverty areas speaks to a community</w:t>
      </w:r>
      <w:r w:rsidR="00432A5B">
        <w:rPr>
          <w:color w:val="000000" w:themeColor="text1"/>
          <w:sz w:val="22"/>
          <w:szCs w:val="22"/>
        </w:rPr>
        <w:t>—</w:t>
      </w:r>
      <w:r w:rsidRPr="00CA79BC">
        <w:rPr>
          <w:color w:val="000000" w:themeColor="text1"/>
          <w:sz w:val="22"/>
          <w:szCs w:val="22"/>
        </w:rPr>
        <w:t xml:space="preserve">and to the resources and opportunities available to children </w:t>
      </w:r>
      <w:r w:rsidR="00432A5B">
        <w:rPr>
          <w:color w:val="000000" w:themeColor="text1"/>
          <w:sz w:val="22"/>
          <w:szCs w:val="22"/>
        </w:rPr>
        <w:t>there</w:t>
      </w:r>
      <w:r w:rsidRPr="00CA79BC">
        <w:rPr>
          <w:color w:val="000000" w:themeColor="text1"/>
          <w:sz w:val="22"/>
          <w:szCs w:val="22"/>
        </w:rPr>
        <w:t>.</w:t>
      </w:r>
    </w:p>
    <w:p w14:paraId="66509D92" w14:textId="77777777" w:rsidR="005D3F9B" w:rsidRPr="00CA79BC" w:rsidRDefault="005D3F9B" w:rsidP="005D3F9B">
      <w:pPr>
        <w:rPr>
          <w:color w:val="000000" w:themeColor="text1"/>
          <w:sz w:val="22"/>
          <w:szCs w:val="22"/>
        </w:rPr>
      </w:pPr>
    </w:p>
    <w:p w14:paraId="3DB9CE85" w14:textId="2AB433D1" w:rsidR="005D3F9B" w:rsidRPr="00CA79BC" w:rsidRDefault="005D3F9B" w:rsidP="005D3F9B">
      <w:pPr>
        <w:rPr>
          <w:color w:val="000000" w:themeColor="text1"/>
          <w:sz w:val="22"/>
          <w:szCs w:val="22"/>
        </w:rPr>
      </w:pPr>
      <w:r w:rsidRPr="00CA79BC">
        <w:rPr>
          <w:color w:val="000000" w:themeColor="text1"/>
          <w:sz w:val="22"/>
          <w:szCs w:val="22"/>
        </w:rPr>
        <w:t xml:space="preserve">Georgia’s teen birth rate (ages 15 – 19) fell again in 2019 to 20 </w:t>
      </w:r>
      <w:r w:rsidR="00432A5B">
        <w:rPr>
          <w:color w:val="000000" w:themeColor="text1"/>
          <w:sz w:val="22"/>
          <w:szCs w:val="22"/>
        </w:rPr>
        <w:t xml:space="preserve">per </w:t>
      </w:r>
      <w:r w:rsidRPr="00CA79BC">
        <w:rPr>
          <w:color w:val="000000" w:themeColor="text1"/>
          <w:sz w:val="22"/>
          <w:szCs w:val="22"/>
        </w:rPr>
        <w:t>1,000, down from 41 per 1,000 in 2010. Delaying a first birth until after the teen years makes a teenager much more likely to finish high school on time, which can have long-term implications for postsecondary education, job opportunities, military enrollment, and future poverty status.</w:t>
      </w:r>
    </w:p>
    <w:p w14:paraId="1C348E0C" w14:textId="77777777" w:rsidR="005D3F9B" w:rsidRPr="00CA79BC" w:rsidRDefault="005D3F9B" w:rsidP="005D3F9B">
      <w:pPr>
        <w:rPr>
          <w:color w:val="000000" w:themeColor="text1"/>
          <w:sz w:val="22"/>
          <w:szCs w:val="22"/>
        </w:rPr>
      </w:pPr>
    </w:p>
    <w:p w14:paraId="5EA8265F" w14:textId="4F2D2B51" w:rsidR="00E97DFC" w:rsidRDefault="005D3F9B" w:rsidP="005D3F9B">
      <w:pPr>
        <w:rPr>
          <w:color w:val="000000" w:themeColor="text1"/>
          <w:sz w:val="22"/>
          <w:szCs w:val="22"/>
        </w:rPr>
      </w:pPr>
      <w:r w:rsidRPr="00CA79BC">
        <w:rPr>
          <w:color w:val="000000" w:themeColor="text1"/>
          <w:sz w:val="22"/>
          <w:szCs w:val="22"/>
        </w:rPr>
        <w:t xml:space="preserve">“Georgia was moving in the right direction in some areas prior to the pandemic, though with clear room to improve,” said Georgia Family Connection Partnership Executive Director Gaye Smith. “The Household Pulse Survey, however, clearly shows that the pandemic posed serious struggles for Georgia’s families and communities. Investing in our people and seizing every opportunity that materializes from </w:t>
      </w:r>
      <w:r w:rsidRPr="00CA79BC">
        <w:rPr>
          <w:color w:val="000000" w:themeColor="text1"/>
          <w:sz w:val="22"/>
          <w:szCs w:val="22"/>
        </w:rPr>
        <w:lastRenderedPageBreak/>
        <w:t xml:space="preserve">this past year </w:t>
      </w:r>
      <w:r w:rsidR="00432A5B">
        <w:rPr>
          <w:color w:val="000000" w:themeColor="text1"/>
          <w:sz w:val="22"/>
          <w:szCs w:val="22"/>
        </w:rPr>
        <w:t xml:space="preserve">that has been </w:t>
      </w:r>
      <w:r w:rsidRPr="00CA79BC">
        <w:rPr>
          <w:color w:val="000000" w:themeColor="text1"/>
          <w:sz w:val="22"/>
          <w:szCs w:val="22"/>
        </w:rPr>
        <w:t>unlike any in our lifetimes will have a profound positive effect on our communities long after this pandemic is behind us.”</w:t>
      </w:r>
    </w:p>
    <w:p w14:paraId="746922D2" w14:textId="0069C4B5" w:rsidR="005D3F9B" w:rsidRDefault="005D3F9B" w:rsidP="005D3F9B">
      <w:pPr>
        <w:rPr>
          <w:color w:val="000000" w:themeColor="text1"/>
          <w:sz w:val="22"/>
          <w:szCs w:val="22"/>
        </w:rPr>
      </w:pPr>
    </w:p>
    <w:p w14:paraId="74AC1550" w14:textId="2B03450B" w:rsidR="005D3F9B" w:rsidRPr="00AC1EAC" w:rsidRDefault="005D3F9B" w:rsidP="005D3F9B">
      <w:pPr>
        <w:jc w:val="center"/>
        <w:rPr>
          <w:color w:val="000000"/>
          <w:sz w:val="22"/>
          <w:szCs w:val="22"/>
        </w:rPr>
      </w:pPr>
      <w:r>
        <w:rPr>
          <w:color w:val="000000" w:themeColor="text1"/>
          <w:sz w:val="22"/>
          <w:szCs w:val="22"/>
        </w:rPr>
        <w:t>###</w:t>
      </w:r>
    </w:p>
    <w:p w14:paraId="73D4F009" w14:textId="77777777" w:rsidR="00991E6D" w:rsidRPr="00AC1EAC" w:rsidRDefault="00991E6D" w:rsidP="00DF5867">
      <w:pPr>
        <w:pStyle w:val="Normal1"/>
        <w:spacing w:line="240" w:lineRule="auto"/>
        <w:rPr>
          <w:rFonts w:ascii="Calibri" w:eastAsia="Calibri" w:hAnsi="Calibri" w:cs="Calibri"/>
          <w:b/>
        </w:rPr>
      </w:pPr>
    </w:p>
    <w:p w14:paraId="4B098E31" w14:textId="77777777" w:rsidR="00DF5867" w:rsidRPr="00E97DFC" w:rsidRDefault="00DF5867" w:rsidP="00DF5867">
      <w:pPr>
        <w:pStyle w:val="Normal1"/>
        <w:spacing w:line="240" w:lineRule="auto"/>
        <w:rPr>
          <w:rFonts w:eastAsia="Calibri"/>
          <w:b/>
        </w:rPr>
      </w:pPr>
      <w:r w:rsidRPr="00E97DFC">
        <w:rPr>
          <w:rFonts w:eastAsia="Calibri"/>
          <w:b/>
        </w:rPr>
        <w:t xml:space="preserve">Release Information </w:t>
      </w:r>
    </w:p>
    <w:p w14:paraId="4D5D19A7" w14:textId="20250D85" w:rsidR="00E3290A" w:rsidRDefault="00AA704B" w:rsidP="00E3290A">
      <w:pPr>
        <w:rPr>
          <w:rFonts w:ascii="Arial" w:hAnsi="Arial" w:cs="Arial"/>
          <w:color w:val="000000"/>
          <w:sz w:val="22"/>
          <w:szCs w:val="22"/>
        </w:rPr>
      </w:pPr>
      <w:r>
        <w:rPr>
          <w:rFonts w:ascii="Arial" w:hAnsi="Arial" w:cs="Arial"/>
          <w:color w:val="000000"/>
          <w:sz w:val="22"/>
          <w:szCs w:val="22"/>
        </w:rPr>
        <w:t>Download t</w:t>
      </w:r>
      <w:r w:rsidR="00E3290A" w:rsidRPr="00E3290A">
        <w:rPr>
          <w:rFonts w:ascii="Arial" w:hAnsi="Arial" w:cs="Arial"/>
          <w:color w:val="000000"/>
          <w:sz w:val="22"/>
          <w:szCs w:val="22"/>
        </w:rPr>
        <w:t xml:space="preserve">he </w:t>
      </w:r>
      <w:r w:rsidR="00E3290A" w:rsidRPr="00E3290A">
        <w:rPr>
          <w:rFonts w:ascii="Arial" w:hAnsi="Arial" w:cs="Arial"/>
          <w:i/>
          <w:iCs/>
          <w:color w:val="000000"/>
          <w:sz w:val="22"/>
          <w:szCs w:val="22"/>
        </w:rPr>
        <w:t>2021 KIDS COUNT® Data Book</w:t>
      </w:r>
      <w:r w:rsidR="008F084C">
        <w:rPr>
          <w:rFonts w:ascii="Arial" w:hAnsi="Arial" w:cs="Arial"/>
          <w:color w:val="000000"/>
          <w:sz w:val="22"/>
          <w:szCs w:val="22"/>
        </w:rPr>
        <w:t xml:space="preserve"> at </w:t>
      </w:r>
      <w:hyperlink r:id="rId7" w:history="1">
        <w:r w:rsidR="008F084C" w:rsidRPr="008F084C">
          <w:rPr>
            <w:rStyle w:val="Hyperlink"/>
            <w:rFonts w:ascii="Arial" w:hAnsi="Arial" w:cs="Arial"/>
            <w:sz w:val="22"/>
            <w:szCs w:val="22"/>
          </w:rPr>
          <w:t>aecf.org/resources/2021-kids-count-data-book</w:t>
        </w:r>
      </w:hyperlink>
      <w:r w:rsidR="00E3290A" w:rsidRPr="00E3290A">
        <w:rPr>
          <w:rFonts w:ascii="Arial" w:hAnsi="Arial" w:cs="Arial"/>
          <w:color w:val="000000"/>
          <w:sz w:val="22"/>
          <w:szCs w:val="22"/>
        </w:rPr>
        <w:t>.</w:t>
      </w:r>
    </w:p>
    <w:p w14:paraId="5C70A0BB" w14:textId="77777777" w:rsidR="00E97DFC" w:rsidRPr="00E3290A" w:rsidRDefault="00E97DFC" w:rsidP="00E97DFC">
      <w:pPr>
        <w:rPr>
          <w:rFonts w:ascii="Arial" w:hAnsi="Arial" w:cs="Arial"/>
          <w:sz w:val="22"/>
          <w:szCs w:val="22"/>
        </w:rPr>
      </w:pPr>
    </w:p>
    <w:p w14:paraId="67D30384" w14:textId="12E3A45C" w:rsidR="00E97DFC" w:rsidRPr="00E3290A" w:rsidRDefault="00E97DFC" w:rsidP="00E97DFC">
      <w:pPr>
        <w:rPr>
          <w:rFonts w:ascii="Arial" w:hAnsi="Arial" w:cs="Arial"/>
          <w:sz w:val="22"/>
          <w:szCs w:val="22"/>
        </w:rPr>
      </w:pPr>
      <w:r w:rsidRPr="00E3290A">
        <w:rPr>
          <w:rFonts w:ascii="Arial" w:hAnsi="Arial" w:cs="Arial"/>
          <w:sz w:val="22"/>
          <w:szCs w:val="22"/>
        </w:rPr>
        <w:t>Journalists interested in creating maps, graphs</w:t>
      </w:r>
      <w:r w:rsidR="00432A5B" w:rsidRPr="00E3290A">
        <w:rPr>
          <w:rFonts w:ascii="Arial" w:hAnsi="Arial" w:cs="Arial"/>
          <w:sz w:val="22"/>
          <w:szCs w:val="22"/>
        </w:rPr>
        <w:t>,</w:t>
      </w:r>
      <w:r w:rsidRPr="00E3290A">
        <w:rPr>
          <w:rFonts w:ascii="Arial" w:hAnsi="Arial" w:cs="Arial"/>
          <w:sz w:val="22"/>
          <w:szCs w:val="22"/>
        </w:rPr>
        <w:t xml:space="preserve"> and rankings in stories about the </w:t>
      </w:r>
      <w:r w:rsidRPr="00E3290A">
        <w:rPr>
          <w:rFonts w:ascii="Arial" w:hAnsi="Arial" w:cs="Arial"/>
          <w:i/>
          <w:iCs/>
          <w:sz w:val="22"/>
          <w:szCs w:val="22"/>
        </w:rPr>
        <w:t>Data Book</w:t>
      </w:r>
      <w:r w:rsidRPr="00E3290A">
        <w:rPr>
          <w:rFonts w:ascii="Arial" w:hAnsi="Arial" w:cs="Arial"/>
          <w:sz w:val="22"/>
          <w:szCs w:val="22"/>
        </w:rPr>
        <w:t xml:space="preserve"> can use the KIDS COUNT® Data Center at </w:t>
      </w:r>
      <w:hyperlink r:id="rId8" w:history="1">
        <w:r w:rsidRPr="00E3290A">
          <w:rPr>
            <w:rStyle w:val="Hyperlink"/>
            <w:rFonts w:ascii="Arial" w:hAnsi="Arial" w:cs="Arial"/>
            <w:sz w:val="22"/>
            <w:szCs w:val="22"/>
          </w:rPr>
          <w:t>datacenter.kidscount.org</w:t>
        </w:r>
      </w:hyperlink>
      <w:r w:rsidRPr="00E3290A">
        <w:rPr>
          <w:rFonts w:ascii="Arial" w:hAnsi="Arial" w:cs="Arial"/>
          <w:sz w:val="22"/>
          <w:szCs w:val="22"/>
        </w:rPr>
        <w:t>.</w:t>
      </w:r>
    </w:p>
    <w:p w14:paraId="253ADA23" w14:textId="77777777" w:rsidR="00E97DFC" w:rsidRPr="001E77D4" w:rsidRDefault="00E97DFC" w:rsidP="00E97DFC">
      <w:pPr>
        <w:pStyle w:val="NormalWeb"/>
        <w:rPr>
          <w:rFonts w:ascii="Arial" w:hAnsi="Arial" w:cs="Arial"/>
          <w:sz w:val="22"/>
          <w:szCs w:val="22"/>
        </w:rPr>
      </w:pPr>
      <w:r w:rsidRPr="00E97DFC">
        <w:rPr>
          <w:rStyle w:val="Strong"/>
          <w:rFonts w:ascii="Arial" w:hAnsi="Arial" w:cs="Arial"/>
          <w:sz w:val="22"/>
          <w:szCs w:val="22"/>
        </w:rPr>
        <w:t>About Georgia Family Connection Partnership</w:t>
      </w:r>
      <w:r w:rsidRPr="00E97DFC">
        <w:rPr>
          <w:rFonts w:ascii="Arial" w:hAnsi="Arial" w:cs="Arial"/>
          <w:b/>
          <w:bCs/>
          <w:sz w:val="22"/>
          <w:szCs w:val="22"/>
        </w:rPr>
        <w:br/>
      </w:r>
      <w:r w:rsidRPr="00E97DFC">
        <w:rPr>
          <w:rFonts w:ascii="Arial" w:hAnsi="Arial" w:cs="Arial"/>
          <w:sz w:val="22"/>
          <w:szCs w:val="22"/>
        </w:rPr>
        <w:t>Georgia Family Connection Partnership (GaFCP) is a public-private partnership created by the State of Georgia and investors from the private sector to assist communities in addressing the serious challenges facing children and families. GaFCP also serves as a resource to state agencies across Georgia that work to improve the conditions of children and families. Georgia KIDS COUNT provides policymakers</w:t>
      </w:r>
      <w:r w:rsidRPr="001E77D4">
        <w:rPr>
          <w:rFonts w:ascii="Arial" w:hAnsi="Arial" w:cs="Arial"/>
          <w:sz w:val="22"/>
          <w:szCs w:val="22"/>
        </w:rPr>
        <w:t xml:space="preserve"> and citizens with current data they need to make informed decisions regarding priorities, services, and resources that impact Georgia’s children, youth, families, and communities. Georgia KIDS COUNT is funded, in part, through a grant from The Annie E. Casey Foundation, a private charitable organization dedicated to helping build better futures for disadvantaged children in the United States. For more information, visit </w:t>
      </w:r>
      <w:hyperlink r:id="rId9" w:history="1">
        <w:r w:rsidRPr="001E77D4">
          <w:rPr>
            <w:rStyle w:val="Hyperlink"/>
            <w:rFonts w:ascii="Arial" w:hAnsi="Arial" w:cs="Arial"/>
            <w:sz w:val="22"/>
            <w:szCs w:val="22"/>
          </w:rPr>
          <w:t>gafcp.org</w:t>
        </w:r>
      </w:hyperlink>
      <w:r w:rsidRPr="001E77D4">
        <w:rPr>
          <w:rFonts w:ascii="Arial" w:hAnsi="Arial" w:cs="Arial"/>
          <w:sz w:val="22"/>
          <w:szCs w:val="22"/>
        </w:rPr>
        <w:t>.</w:t>
      </w:r>
    </w:p>
    <w:p w14:paraId="7FA9D9CB" w14:textId="1AAF46F2" w:rsidR="00517DE9" w:rsidRPr="00AA704B" w:rsidRDefault="00E97DFC" w:rsidP="00AA704B">
      <w:pPr>
        <w:pStyle w:val="NormalWeb"/>
        <w:rPr>
          <w:rFonts w:ascii="Arial" w:hAnsi="Arial" w:cs="Arial"/>
          <w:sz w:val="22"/>
          <w:szCs w:val="22"/>
        </w:rPr>
      </w:pPr>
      <w:r w:rsidRPr="001E77D4">
        <w:rPr>
          <w:rStyle w:val="Strong"/>
          <w:rFonts w:ascii="Arial" w:hAnsi="Arial" w:cs="Arial"/>
          <w:sz w:val="22"/>
          <w:szCs w:val="22"/>
        </w:rPr>
        <w:t>About the Annie E. Casey Foundation</w:t>
      </w:r>
      <w:r w:rsidRPr="001E77D4">
        <w:rPr>
          <w:rFonts w:ascii="Arial" w:hAnsi="Arial" w:cs="Arial"/>
          <w:b/>
          <w:bCs/>
          <w:sz w:val="22"/>
          <w:szCs w:val="22"/>
        </w:rPr>
        <w:br/>
      </w:r>
      <w:r w:rsidRPr="001E77D4">
        <w:rPr>
          <w:rFonts w:ascii="Arial" w:hAnsi="Arial" w:cs="Arial"/>
          <w:sz w:val="22"/>
          <w:szCs w:val="22"/>
        </w:rPr>
        <w:t>The Annie E. Casey Foundation creates a brighter future for the nation’s children by developing solutions to strengthen families, build paths to economic opportunity and transform struggling communities into safer and healthier places to live, work</w:t>
      </w:r>
      <w:r w:rsidR="00432A5B">
        <w:rPr>
          <w:rFonts w:ascii="Arial" w:hAnsi="Arial" w:cs="Arial"/>
          <w:sz w:val="22"/>
          <w:szCs w:val="22"/>
        </w:rPr>
        <w:t xml:space="preserve">, </w:t>
      </w:r>
      <w:r w:rsidRPr="001E77D4">
        <w:rPr>
          <w:rFonts w:ascii="Arial" w:hAnsi="Arial" w:cs="Arial"/>
          <w:sz w:val="22"/>
          <w:szCs w:val="22"/>
        </w:rPr>
        <w:t xml:space="preserve">and grow. For more information, visit </w:t>
      </w:r>
      <w:hyperlink r:id="rId10" w:history="1">
        <w:r w:rsidRPr="001E77D4">
          <w:rPr>
            <w:rStyle w:val="Hyperlink"/>
            <w:rFonts w:ascii="Arial" w:hAnsi="Arial" w:cs="Arial"/>
            <w:sz w:val="22"/>
            <w:szCs w:val="22"/>
          </w:rPr>
          <w:t>aecf.org</w:t>
        </w:r>
      </w:hyperlink>
      <w:r w:rsidRPr="001E77D4">
        <w:rPr>
          <w:rFonts w:ascii="Arial" w:hAnsi="Arial" w:cs="Arial"/>
          <w:sz w:val="22"/>
          <w:szCs w:val="22"/>
        </w:rPr>
        <w:t>. KIDS COUNT</w:t>
      </w:r>
      <w:r w:rsidRPr="001E77D4">
        <w:rPr>
          <w:rFonts w:ascii="Arial" w:hAnsi="Arial" w:cs="Arial"/>
          <w:sz w:val="22"/>
          <w:szCs w:val="22"/>
          <w:vertAlign w:val="superscript"/>
        </w:rPr>
        <w:t>®</w:t>
      </w:r>
      <w:r w:rsidRPr="001E77D4">
        <w:rPr>
          <w:rFonts w:ascii="Arial" w:hAnsi="Arial" w:cs="Arial"/>
          <w:sz w:val="22"/>
          <w:szCs w:val="22"/>
        </w:rPr>
        <w:t xml:space="preserve"> is a registered trademark of the Annie E. Casey Foundation.</w:t>
      </w:r>
    </w:p>
    <w:sectPr w:rsidR="00517DE9" w:rsidRPr="00AA704B" w:rsidSect="00F730FA">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D760F" w14:textId="77777777" w:rsidR="00CC11DB" w:rsidRDefault="00CC11DB" w:rsidP="00DF5867">
      <w:r>
        <w:separator/>
      </w:r>
    </w:p>
  </w:endnote>
  <w:endnote w:type="continuationSeparator" w:id="0">
    <w:p w14:paraId="4B89A9B5" w14:textId="77777777" w:rsidR="00CC11DB" w:rsidRDefault="00CC11DB" w:rsidP="00DF5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E7FB2" w14:textId="77777777" w:rsidR="00991E6D" w:rsidRDefault="00991E6D">
    <w:pPr>
      <w:pStyle w:val="Footer"/>
    </w:pPr>
    <w:r w:rsidRPr="004715A5">
      <w:rPr>
        <w:color w:val="96796B"/>
      </w:rPr>
      <w:t xml:space="preserve">235 Peachtree Street, Suite 1600, Atlanta, </w:t>
    </w:r>
    <w:r>
      <w:rPr>
        <w:color w:val="96796B"/>
      </w:rPr>
      <w:softHyphen/>
    </w:r>
    <w:r w:rsidRPr="004715A5">
      <w:rPr>
        <w:color w:val="96796B"/>
      </w:rPr>
      <w:t>GA 30303-1422  |  404-527-7394  |  gafcp.org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0EE2A" w14:textId="77777777" w:rsidR="00CC11DB" w:rsidRDefault="00CC11DB" w:rsidP="00DF5867">
      <w:r>
        <w:separator/>
      </w:r>
    </w:p>
  </w:footnote>
  <w:footnote w:type="continuationSeparator" w:id="0">
    <w:p w14:paraId="34122E8E" w14:textId="77777777" w:rsidR="00CC11DB" w:rsidRDefault="00CC11DB" w:rsidP="00DF5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59469" w14:textId="77777777" w:rsidR="00DF5867" w:rsidRPr="00991E6D" w:rsidRDefault="00991E6D">
    <w:pPr>
      <w:pStyle w:val="Header"/>
      <w:rPr>
        <w:rFonts w:ascii="Arial" w:hAnsi="Arial" w:cs="Arial"/>
        <w:sz w:val="18"/>
        <w:szCs w:val="18"/>
      </w:rPr>
    </w:pPr>
    <w:r w:rsidRPr="00991E6D">
      <w:rPr>
        <w:rFonts w:ascii="Arial" w:hAnsi="Arial" w:cs="Arial"/>
        <w:b/>
        <w:bCs/>
        <w:color w:val="000000"/>
        <w:sz w:val="18"/>
        <w:szCs w:val="18"/>
      </w:rPr>
      <w:t>Georgia ranks 38th in the Nation for Child Well-Being</w:t>
    </w:r>
    <w:r>
      <w:rPr>
        <w:rFonts w:ascii="Arial" w:hAnsi="Arial" w:cs="Arial"/>
        <w:b/>
        <w:bCs/>
        <w:color w:val="000000"/>
        <w:sz w:val="18"/>
        <w:szCs w:val="18"/>
      </w:rPr>
      <w:t xml:space="preserve"> (cont.)</w:t>
    </w:r>
    <w:r w:rsidR="00DF5867" w:rsidRPr="00991E6D">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288"/>
      <w:gridCol w:w="3028"/>
      <w:gridCol w:w="3044"/>
    </w:tblGrid>
    <w:tr w:rsidR="00F730FA" w14:paraId="16C96B44" w14:textId="77777777" w:rsidTr="00AC1EAC">
      <w:tc>
        <w:tcPr>
          <w:tcW w:w="3116" w:type="dxa"/>
          <w:shd w:val="clear" w:color="auto" w:fill="auto"/>
        </w:tcPr>
        <w:p w14:paraId="2515254E" w14:textId="3F4BF4D0" w:rsidR="00F730FA" w:rsidRPr="00AC1EAC" w:rsidRDefault="00605C55" w:rsidP="00F730FA">
          <w:pPr>
            <w:pStyle w:val="Header"/>
            <w:rPr>
              <w:sz w:val="22"/>
              <w:szCs w:val="22"/>
            </w:rPr>
          </w:pPr>
          <w:r>
            <w:rPr>
              <w:noProof/>
            </w:rPr>
            <mc:AlternateContent>
              <mc:Choice Requires="wps">
                <w:drawing>
                  <wp:anchor distT="0" distB="0" distL="114292" distR="114292" simplePos="0" relativeHeight="251657728" behindDoc="0" locked="0" layoutInCell="1" allowOverlap="1" wp14:anchorId="3B40779A" wp14:editId="3137A89A">
                    <wp:simplePos x="0" y="0"/>
                    <wp:positionH relativeFrom="column">
                      <wp:posOffset>2006599</wp:posOffset>
                    </wp:positionH>
                    <wp:positionV relativeFrom="paragraph">
                      <wp:posOffset>-635</wp:posOffset>
                    </wp:positionV>
                    <wp:extent cx="0" cy="1701800"/>
                    <wp:effectExtent l="0" t="0" r="19050" b="1270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0" cy="1701800"/>
                            </a:xfrm>
                            <a:prstGeom prst="line">
                              <a:avLst/>
                            </a:prstGeom>
                            <a:noFill/>
                            <a:ln w="19050" cap="flat" cmpd="sng" algn="ctr">
                              <a:solidFill>
                                <a:srgbClr val="BAAB9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A9553B" id="Straight Connector 2" o:spid="_x0000_s1026" style="position:absolute;z-index:251657728;visibility:visible;mso-wrap-style:square;mso-width-percent:0;mso-height-percent:0;mso-wrap-distance-left:3.17478mm;mso-wrap-distance-top:0;mso-wrap-distance-right:3.17478mm;mso-wrap-distance-bottom:0;mso-position-horizontal:absolute;mso-position-horizontal-relative:text;mso-position-vertical:absolute;mso-position-vertical-relative:text;mso-width-percent:0;mso-height-percent:0;mso-width-relative:margin;mso-height-relative:margin" from="158pt,-.05pt" to="158pt,1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" strokecolor="#baab96" strokeweight="1.5pt">
                    <v:stroke joinstyle="miter"/>
                  </v:line>
                </w:pict>
              </mc:Fallback>
            </mc:AlternateContent>
          </w:r>
          <w:r w:rsidRPr="00AC1EAC">
            <w:rPr>
              <w:noProof/>
              <w:sz w:val="22"/>
              <w:szCs w:val="22"/>
            </w:rPr>
            <w:drawing>
              <wp:inline distT="0" distB="0" distL="0" distR="0" wp14:anchorId="33392736" wp14:editId="5794E42D">
                <wp:extent cx="1950720" cy="16687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13034" t="18163" r="16026" b="21368"/>
                        <a:stretch>
                          <a:fillRect/>
                        </a:stretch>
                      </pic:blipFill>
                      <pic:spPr bwMode="auto">
                        <a:xfrm>
                          <a:off x="0" y="0"/>
                          <a:ext cx="1950720" cy="1668780"/>
                        </a:xfrm>
                        <a:prstGeom prst="rect">
                          <a:avLst/>
                        </a:prstGeom>
                        <a:noFill/>
                        <a:ln>
                          <a:noFill/>
                        </a:ln>
                      </pic:spPr>
                    </pic:pic>
                  </a:graphicData>
                </a:graphic>
              </wp:inline>
            </w:drawing>
          </w:r>
          <w:r w:rsidR="00F730FA" w:rsidRPr="00AC1EAC">
            <w:rPr>
              <w:noProof/>
              <w:sz w:val="22"/>
              <w:szCs w:val="22"/>
            </w:rPr>
            <w:t xml:space="preserve"> </w:t>
          </w:r>
        </w:p>
      </w:tc>
      <w:tc>
        <w:tcPr>
          <w:tcW w:w="3117" w:type="dxa"/>
          <w:shd w:val="clear" w:color="auto" w:fill="auto"/>
        </w:tcPr>
        <w:p w14:paraId="3744F794" w14:textId="63E1AD7A" w:rsidR="00F730FA" w:rsidRPr="00AC1EAC" w:rsidRDefault="00F730FA" w:rsidP="00F730FA">
          <w:pPr>
            <w:pStyle w:val="Header"/>
            <w:rPr>
              <w:sz w:val="22"/>
              <w:szCs w:val="22"/>
            </w:rPr>
          </w:pPr>
          <w:r w:rsidRPr="00AC1EAC">
            <w:rPr>
              <w:sz w:val="22"/>
              <w:szCs w:val="22"/>
            </w:rPr>
            <w:t xml:space="preserve">  </w:t>
          </w:r>
          <w:r w:rsidR="00605C55" w:rsidRPr="00AC1EAC">
            <w:rPr>
              <w:noProof/>
              <w:sz w:val="22"/>
              <w:szCs w:val="22"/>
            </w:rPr>
            <w:drawing>
              <wp:inline distT="0" distB="0" distL="0" distR="0" wp14:anchorId="32A21B69" wp14:editId="720C7B43">
                <wp:extent cx="990600" cy="166116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1661160"/>
                        </a:xfrm>
                        <a:prstGeom prst="rect">
                          <a:avLst/>
                        </a:prstGeom>
                        <a:noFill/>
                        <a:ln>
                          <a:noFill/>
                        </a:ln>
                      </pic:spPr>
                    </pic:pic>
                  </a:graphicData>
                </a:graphic>
              </wp:inline>
            </w:drawing>
          </w:r>
        </w:p>
      </w:tc>
      <w:tc>
        <w:tcPr>
          <w:tcW w:w="3117" w:type="dxa"/>
          <w:shd w:val="clear" w:color="auto" w:fill="auto"/>
        </w:tcPr>
        <w:p w14:paraId="6BDAC53A" w14:textId="77777777" w:rsidR="00F730FA" w:rsidRPr="00AC1EAC" w:rsidRDefault="00F730FA" w:rsidP="00AC1EAC">
          <w:pPr>
            <w:jc w:val="right"/>
            <w:rPr>
              <w:rFonts w:ascii="Arial" w:hAnsi="Arial" w:cs="Arial"/>
              <w:sz w:val="22"/>
              <w:szCs w:val="22"/>
            </w:rPr>
          </w:pPr>
        </w:p>
        <w:p w14:paraId="42CD2174" w14:textId="77777777" w:rsidR="00F730FA" w:rsidRPr="00AC1EAC" w:rsidRDefault="00F730FA" w:rsidP="00AC1EAC">
          <w:pPr>
            <w:jc w:val="right"/>
            <w:rPr>
              <w:rFonts w:ascii="Arial" w:hAnsi="Arial" w:cs="Arial"/>
              <w:sz w:val="22"/>
              <w:szCs w:val="22"/>
            </w:rPr>
          </w:pPr>
        </w:p>
        <w:p w14:paraId="528941D2" w14:textId="77777777" w:rsidR="00F730FA" w:rsidRPr="00AC1EAC" w:rsidRDefault="00F730FA" w:rsidP="00AC1EAC">
          <w:pPr>
            <w:jc w:val="right"/>
            <w:rPr>
              <w:rFonts w:ascii="Arial" w:hAnsi="Arial" w:cs="Arial"/>
              <w:sz w:val="22"/>
              <w:szCs w:val="22"/>
            </w:rPr>
          </w:pPr>
        </w:p>
        <w:p w14:paraId="76AEF798" w14:textId="77777777" w:rsidR="00F730FA" w:rsidRPr="00AC1EAC" w:rsidRDefault="00F730FA" w:rsidP="00AC1EAC">
          <w:pPr>
            <w:jc w:val="right"/>
            <w:rPr>
              <w:rFonts w:ascii="Arial" w:hAnsi="Arial" w:cs="Arial"/>
              <w:sz w:val="22"/>
              <w:szCs w:val="22"/>
            </w:rPr>
          </w:pPr>
        </w:p>
        <w:p w14:paraId="315D680C" w14:textId="77777777" w:rsidR="00F730FA" w:rsidRPr="00AC1EAC" w:rsidRDefault="00F730FA" w:rsidP="00AC1EAC">
          <w:pPr>
            <w:jc w:val="right"/>
            <w:rPr>
              <w:rFonts w:ascii="Arial" w:hAnsi="Arial" w:cs="Arial"/>
              <w:sz w:val="22"/>
              <w:szCs w:val="22"/>
            </w:rPr>
          </w:pPr>
          <w:r w:rsidRPr="00AC1EAC">
            <w:rPr>
              <w:rFonts w:ascii="Arial" w:hAnsi="Arial" w:cs="Arial"/>
              <w:sz w:val="22"/>
              <w:szCs w:val="22"/>
            </w:rPr>
            <w:t>Contact: Bill Valladares</w:t>
          </w:r>
        </w:p>
        <w:p w14:paraId="676D6880" w14:textId="77777777" w:rsidR="00F730FA" w:rsidRPr="00AC1EAC" w:rsidRDefault="00F730FA" w:rsidP="00AC1EAC">
          <w:pPr>
            <w:jc w:val="right"/>
            <w:rPr>
              <w:rFonts w:ascii="Arial" w:hAnsi="Arial" w:cs="Arial"/>
              <w:sz w:val="22"/>
              <w:szCs w:val="22"/>
            </w:rPr>
          </w:pPr>
          <w:r w:rsidRPr="00AC1EAC">
            <w:rPr>
              <w:rFonts w:ascii="Arial" w:hAnsi="Arial" w:cs="Arial"/>
              <w:sz w:val="22"/>
              <w:szCs w:val="22"/>
            </w:rPr>
            <w:fldChar w:fldCharType="begin"/>
          </w:r>
          <w:r w:rsidRPr="00AC1EAC">
            <w:rPr>
              <w:rFonts w:ascii="Arial" w:hAnsi="Arial" w:cs="Arial"/>
              <w:sz w:val="22"/>
              <w:szCs w:val="22"/>
            </w:rPr>
            <w:instrText xml:space="preserve"> HYPERLINK "mailto:william@gafcp.org</w:instrText>
          </w:r>
        </w:p>
        <w:p w14:paraId="6B4EF607" w14:textId="77777777" w:rsidR="00F730FA" w:rsidRPr="00AC1EAC" w:rsidRDefault="00F730FA" w:rsidP="00AC1EAC">
          <w:pPr>
            <w:jc w:val="right"/>
            <w:rPr>
              <w:rStyle w:val="Hyperlink"/>
              <w:rFonts w:ascii="Arial" w:hAnsi="Arial" w:cs="Arial"/>
              <w:sz w:val="22"/>
              <w:szCs w:val="22"/>
            </w:rPr>
          </w:pPr>
          <w:r w:rsidRPr="00AC1EAC">
            <w:rPr>
              <w:rFonts w:ascii="Arial" w:hAnsi="Arial" w:cs="Arial"/>
              <w:sz w:val="22"/>
              <w:szCs w:val="22"/>
            </w:rPr>
            <w:instrText xml:space="preserve">" </w:instrText>
          </w:r>
          <w:r w:rsidRPr="00AC1EAC">
            <w:rPr>
              <w:rFonts w:ascii="Arial" w:hAnsi="Arial" w:cs="Arial"/>
            </w:rPr>
            <w:fldChar w:fldCharType="separate"/>
          </w:r>
          <w:r w:rsidRPr="00AC1EAC">
            <w:rPr>
              <w:rStyle w:val="Hyperlink"/>
              <w:rFonts w:ascii="Arial" w:hAnsi="Arial" w:cs="Arial"/>
              <w:sz w:val="22"/>
              <w:szCs w:val="22"/>
            </w:rPr>
            <w:t>william@gafcp.org</w:t>
          </w:r>
        </w:p>
        <w:p w14:paraId="4F414A3A" w14:textId="77777777" w:rsidR="00F730FA" w:rsidRPr="00AC1EAC" w:rsidRDefault="00F730FA" w:rsidP="00AC1EAC">
          <w:pPr>
            <w:pStyle w:val="Header"/>
            <w:jc w:val="right"/>
            <w:rPr>
              <w:sz w:val="22"/>
              <w:szCs w:val="22"/>
            </w:rPr>
          </w:pPr>
          <w:r w:rsidRPr="00AC1EAC">
            <w:rPr>
              <w:rFonts w:ascii="Arial" w:hAnsi="Arial" w:cs="Arial"/>
              <w:sz w:val="22"/>
              <w:szCs w:val="22"/>
            </w:rPr>
            <w:fldChar w:fldCharType="end"/>
          </w:r>
          <w:r w:rsidRPr="00AC1EAC">
            <w:rPr>
              <w:rFonts w:ascii="Arial" w:hAnsi="Arial" w:cs="Arial"/>
              <w:sz w:val="22"/>
              <w:szCs w:val="22"/>
            </w:rPr>
            <w:t>404-739-0043</w:t>
          </w:r>
        </w:p>
      </w:tc>
    </w:tr>
  </w:tbl>
  <w:p w14:paraId="4824BB29" w14:textId="77777777" w:rsidR="00F730FA" w:rsidRDefault="00F730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471"/>
    <w:rsid w:val="000045D4"/>
    <w:rsid w:val="000340C7"/>
    <w:rsid w:val="00034D9D"/>
    <w:rsid w:val="000431A8"/>
    <w:rsid w:val="000437D9"/>
    <w:rsid w:val="00053830"/>
    <w:rsid w:val="00065286"/>
    <w:rsid w:val="00066FBC"/>
    <w:rsid w:val="000809D8"/>
    <w:rsid w:val="00083FEF"/>
    <w:rsid w:val="00090FA1"/>
    <w:rsid w:val="00092055"/>
    <w:rsid w:val="000A5107"/>
    <w:rsid w:val="000B7445"/>
    <w:rsid w:val="000D5B98"/>
    <w:rsid w:val="000E1012"/>
    <w:rsid w:val="000E7DC7"/>
    <w:rsid w:val="00101491"/>
    <w:rsid w:val="0010247F"/>
    <w:rsid w:val="00153499"/>
    <w:rsid w:val="0016519F"/>
    <w:rsid w:val="001A114F"/>
    <w:rsid w:val="001A722A"/>
    <w:rsid w:val="001C7D7A"/>
    <w:rsid w:val="001D1E17"/>
    <w:rsid w:val="001E2A3D"/>
    <w:rsid w:val="001E2AE3"/>
    <w:rsid w:val="001F7B07"/>
    <w:rsid w:val="00201B9C"/>
    <w:rsid w:val="0020748F"/>
    <w:rsid w:val="00207925"/>
    <w:rsid w:val="00210471"/>
    <w:rsid w:val="00210ABF"/>
    <w:rsid w:val="00211386"/>
    <w:rsid w:val="002607DB"/>
    <w:rsid w:val="002634D1"/>
    <w:rsid w:val="00286B9E"/>
    <w:rsid w:val="00294B8C"/>
    <w:rsid w:val="002B49BC"/>
    <w:rsid w:val="002C4C70"/>
    <w:rsid w:val="00310EFA"/>
    <w:rsid w:val="00364028"/>
    <w:rsid w:val="00370F88"/>
    <w:rsid w:val="00374060"/>
    <w:rsid w:val="003854AC"/>
    <w:rsid w:val="003901C1"/>
    <w:rsid w:val="00397FE4"/>
    <w:rsid w:val="003A00CF"/>
    <w:rsid w:val="003A3DBF"/>
    <w:rsid w:val="003C0CE9"/>
    <w:rsid w:val="003D3A5A"/>
    <w:rsid w:val="003F7C55"/>
    <w:rsid w:val="00411BC1"/>
    <w:rsid w:val="0041297E"/>
    <w:rsid w:val="00415537"/>
    <w:rsid w:val="00417355"/>
    <w:rsid w:val="00425652"/>
    <w:rsid w:val="00432A5B"/>
    <w:rsid w:val="00434897"/>
    <w:rsid w:val="00444611"/>
    <w:rsid w:val="004A0B97"/>
    <w:rsid w:val="004A4BDB"/>
    <w:rsid w:val="004A5110"/>
    <w:rsid w:val="004B6401"/>
    <w:rsid w:val="004C0597"/>
    <w:rsid w:val="004C708F"/>
    <w:rsid w:val="004F32D2"/>
    <w:rsid w:val="004F7FE4"/>
    <w:rsid w:val="00507D20"/>
    <w:rsid w:val="00517DE9"/>
    <w:rsid w:val="00530B06"/>
    <w:rsid w:val="005441EE"/>
    <w:rsid w:val="0054479D"/>
    <w:rsid w:val="005508AA"/>
    <w:rsid w:val="00557E0F"/>
    <w:rsid w:val="00564289"/>
    <w:rsid w:val="00587061"/>
    <w:rsid w:val="005977FE"/>
    <w:rsid w:val="005A5E21"/>
    <w:rsid w:val="005C1C1F"/>
    <w:rsid w:val="005C5F13"/>
    <w:rsid w:val="005D3F9B"/>
    <w:rsid w:val="005E0DAD"/>
    <w:rsid w:val="005E324B"/>
    <w:rsid w:val="005F0FAB"/>
    <w:rsid w:val="005F2AEE"/>
    <w:rsid w:val="00602856"/>
    <w:rsid w:val="00604AE8"/>
    <w:rsid w:val="00605C55"/>
    <w:rsid w:val="00646AFE"/>
    <w:rsid w:val="0065715F"/>
    <w:rsid w:val="00667C80"/>
    <w:rsid w:val="00672D9C"/>
    <w:rsid w:val="006805F2"/>
    <w:rsid w:val="006B7B76"/>
    <w:rsid w:val="006C19E4"/>
    <w:rsid w:val="006C2D69"/>
    <w:rsid w:val="006C66E9"/>
    <w:rsid w:val="006C7677"/>
    <w:rsid w:val="006C7690"/>
    <w:rsid w:val="006D3670"/>
    <w:rsid w:val="00710CE5"/>
    <w:rsid w:val="00743831"/>
    <w:rsid w:val="00751568"/>
    <w:rsid w:val="007569E3"/>
    <w:rsid w:val="007670D5"/>
    <w:rsid w:val="00782205"/>
    <w:rsid w:val="007A4720"/>
    <w:rsid w:val="007B6F49"/>
    <w:rsid w:val="007B788F"/>
    <w:rsid w:val="007E1D24"/>
    <w:rsid w:val="007F2B33"/>
    <w:rsid w:val="007F7330"/>
    <w:rsid w:val="008041DE"/>
    <w:rsid w:val="00816041"/>
    <w:rsid w:val="00833971"/>
    <w:rsid w:val="00840DA3"/>
    <w:rsid w:val="00860C1E"/>
    <w:rsid w:val="0088730E"/>
    <w:rsid w:val="008A42A1"/>
    <w:rsid w:val="008B18ED"/>
    <w:rsid w:val="008D4C38"/>
    <w:rsid w:val="008F084C"/>
    <w:rsid w:val="008F1375"/>
    <w:rsid w:val="008F7C20"/>
    <w:rsid w:val="009155F1"/>
    <w:rsid w:val="009175FB"/>
    <w:rsid w:val="00942D51"/>
    <w:rsid w:val="009531A9"/>
    <w:rsid w:val="0095352A"/>
    <w:rsid w:val="00955F98"/>
    <w:rsid w:val="00990455"/>
    <w:rsid w:val="00991E6D"/>
    <w:rsid w:val="009B0D10"/>
    <w:rsid w:val="009C1B6B"/>
    <w:rsid w:val="009C3443"/>
    <w:rsid w:val="009D69A0"/>
    <w:rsid w:val="009E1909"/>
    <w:rsid w:val="009F51FA"/>
    <w:rsid w:val="00A45A78"/>
    <w:rsid w:val="00A8130D"/>
    <w:rsid w:val="00A83342"/>
    <w:rsid w:val="00A86CBE"/>
    <w:rsid w:val="00A95C3E"/>
    <w:rsid w:val="00AA6993"/>
    <w:rsid w:val="00AA704B"/>
    <w:rsid w:val="00AC1EAC"/>
    <w:rsid w:val="00AC4340"/>
    <w:rsid w:val="00AD4063"/>
    <w:rsid w:val="00AD63F1"/>
    <w:rsid w:val="00AE0439"/>
    <w:rsid w:val="00B014EC"/>
    <w:rsid w:val="00B04689"/>
    <w:rsid w:val="00B274DD"/>
    <w:rsid w:val="00B32C2E"/>
    <w:rsid w:val="00B349A9"/>
    <w:rsid w:val="00B437BB"/>
    <w:rsid w:val="00B75A1F"/>
    <w:rsid w:val="00B84B8B"/>
    <w:rsid w:val="00BA045D"/>
    <w:rsid w:val="00BA7978"/>
    <w:rsid w:val="00BB1413"/>
    <w:rsid w:val="00BB445D"/>
    <w:rsid w:val="00BB4B5C"/>
    <w:rsid w:val="00BE1762"/>
    <w:rsid w:val="00C02372"/>
    <w:rsid w:val="00C169B2"/>
    <w:rsid w:val="00C7345D"/>
    <w:rsid w:val="00C91CE0"/>
    <w:rsid w:val="00CA72E8"/>
    <w:rsid w:val="00CA7B78"/>
    <w:rsid w:val="00CC11DB"/>
    <w:rsid w:val="00CF1A50"/>
    <w:rsid w:val="00CF6278"/>
    <w:rsid w:val="00D37862"/>
    <w:rsid w:val="00D704E4"/>
    <w:rsid w:val="00D73A7A"/>
    <w:rsid w:val="00D80803"/>
    <w:rsid w:val="00D92F09"/>
    <w:rsid w:val="00DA4638"/>
    <w:rsid w:val="00DF5867"/>
    <w:rsid w:val="00E3290A"/>
    <w:rsid w:val="00E366A9"/>
    <w:rsid w:val="00E462C1"/>
    <w:rsid w:val="00E573E1"/>
    <w:rsid w:val="00E71BD2"/>
    <w:rsid w:val="00E74504"/>
    <w:rsid w:val="00E82A9D"/>
    <w:rsid w:val="00E95976"/>
    <w:rsid w:val="00E97DFC"/>
    <w:rsid w:val="00EC5F41"/>
    <w:rsid w:val="00F32662"/>
    <w:rsid w:val="00F43CB8"/>
    <w:rsid w:val="00F623C1"/>
    <w:rsid w:val="00F65123"/>
    <w:rsid w:val="00F730FA"/>
    <w:rsid w:val="00FB4038"/>
    <w:rsid w:val="00FC2B21"/>
    <w:rsid w:val="00FD5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07B45"/>
  <w15:chartTrackingRefBased/>
  <w15:docId w15:val="{4F7193BE-EF12-48A9-945D-953637F89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4E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5867"/>
    <w:pPr>
      <w:spacing w:before="100" w:beforeAutospacing="1" w:after="100" w:afterAutospacing="1"/>
    </w:pPr>
  </w:style>
  <w:style w:type="character" w:styleId="Hyperlink">
    <w:name w:val="Hyperlink"/>
    <w:uiPriority w:val="99"/>
    <w:unhideWhenUsed/>
    <w:rsid w:val="00DF5867"/>
    <w:rPr>
      <w:color w:val="0563C1"/>
      <w:u w:val="single"/>
    </w:rPr>
  </w:style>
  <w:style w:type="character" w:styleId="UnresolvedMention">
    <w:name w:val="Unresolved Mention"/>
    <w:uiPriority w:val="99"/>
    <w:semiHidden/>
    <w:unhideWhenUsed/>
    <w:rsid w:val="00DF5867"/>
    <w:rPr>
      <w:color w:val="605E5C"/>
      <w:shd w:val="clear" w:color="auto" w:fill="E1DFDD"/>
    </w:rPr>
  </w:style>
  <w:style w:type="paragraph" w:styleId="Header">
    <w:name w:val="header"/>
    <w:basedOn w:val="Normal"/>
    <w:link w:val="HeaderChar"/>
    <w:uiPriority w:val="99"/>
    <w:unhideWhenUsed/>
    <w:rsid w:val="00DF5867"/>
    <w:pPr>
      <w:tabs>
        <w:tab w:val="center" w:pos="4680"/>
        <w:tab w:val="right" w:pos="9360"/>
      </w:tabs>
    </w:pPr>
    <w:rPr>
      <w:rFonts w:ascii="Calibri" w:eastAsia="Calibri" w:hAnsi="Calibri"/>
    </w:rPr>
  </w:style>
  <w:style w:type="character" w:customStyle="1" w:styleId="HeaderChar">
    <w:name w:val="Header Char"/>
    <w:basedOn w:val="DefaultParagraphFont"/>
    <w:link w:val="Header"/>
    <w:uiPriority w:val="99"/>
    <w:rsid w:val="00DF5867"/>
  </w:style>
  <w:style w:type="paragraph" w:styleId="Footer">
    <w:name w:val="footer"/>
    <w:basedOn w:val="Normal"/>
    <w:link w:val="FooterChar"/>
    <w:uiPriority w:val="99"/>
    <w:unhideWhenUsed/>
    <w:rsid w:val="00DF5867"/>
    <w:pPr>
      <w:tabs>
        <w:tab w:val="center" w:pos="4680"/>
        <w:tab w:val="right" w:pos="9360"/>
      </w:tabs>
    </w:pPr>
    <w:rPr>
      <w:rFonts w:ascii="Calibri" w:eastAsia="Calibri" w:hAnsi="Calibri"/>
    </w:rPr>
  </w:style>
  <w:style w:type="character" w:customStyle="1" w:styleId="FooterChar">
    <w:name w:val="Footer Char"/>
    <w:basedOn w:val="DefaultParagraphFont"/>
    <w:link w:val="Footer"/>
    <w:uiPriority w:val="99"/>
    <w:rsid w:val="00DF5867"/>
  </w:style>
  <w:style w:type="table" w:styleId="TableGrid">
    <w:name w:val="Table Grid"/>
    <w:basedOn w:val="TableNormal"/>
    <w:uiPriority w:val="39"/>
    <w:rsid w:val="00DF586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5867"/>
    <w:rPr>
      <w:rFonts w:eastAsia="Calibri"/>
      <w:sz w:val="18"/>
      <w:szCs w:val="18"/>
    </w:rPr>
  </w:style>
  <w:style w:type="character" w:customStyle="1" w:styleId="BalloonTextChar">
    <w:name w:val="Balloon Text Char"/>
    <w:link w:val="BalloonText"/>
    <w:uiPriority w:val="99"/>
    <w:semiHidden/>
    <w:rsid w:val="00DF5867"/>
    <w:rPr>
      <w:rFonts w:ascii="Times New Roman" w:hAnsi="Times New Roman" w:cs="Times New Roman"/>
      <w:sz w:val="18"/>
      <w:szCs w:val="18"/>
    </w:rPr>
  </w:style>
  <w:style w:type="paragraph" w:customStyle="1" w:styleId="Normal1">
    <w:name w:val="Normal1"/>
    <w:rsid w:val="00DF5867"/>
    <w:pPr>
      <w:spacing w:line="276" w:lineRule="auto"/>
    </w:pPr>
    <w:rPr>
      <w:rFonts w:ascii="Arial" w:eastAsia="Arial" w:hAnsi="Arial" w:cs="Arial"/>
      <w:color w:val="000000"/>
      <w:sz w:val="22"/>
      <w:szCs w:val="22"/>
    </w:rPr>
  </w:style>
  <w:style w:type="character" w:styleId="CommentReference">
    <w:name w:val="annotation reference"/>
    <w:uiPriority w:val="99"/>
    <w:semiHidden/>
    <w:unhideWhenUsed/>
    <w:rsid w:val="00CF6278"/>
    <w:rPr>
      <w:sz w:val="16"/>
      <w:szCs w:val="16"/>
    </w:rPr>
  </w:style>
  <w:style w:type="paragraph" w:styleId="CommentText">
    <w:name w:val="annotation text"/>
    <w:basedOn w:val="Normal"/>
    <w:link w:val="CommentTextChar"/>
    <w:uiPriority w:val="99"/>
    <w:semiHidden/>
    <w:unhideWhenUsed/>
    <w:rsid w:val="00CF6278"/>
    <w:rPr>
      <w:rFonts w:ascii="Calibri" w:eastAsia="Calibri" w:hAnsi="Calibri"/>
      <w:sz w:val="20"/>
      <w:szCs w:val="20"/>
    </w:rPr>
  </w:style>
  <w:style w:type="character" w:customStyle="1" w:styleId="CommentTextChar">
    <w:name w:val="Comment Text Char"/>
    <w:link w:val="CommentText"/>
    <w:uiPriority w:val="99"/>
    <w:semiHidden/>
    <w:rsid w:val="00CF6278"/>
    <w:rPr>
      <w:sz w:val="20"/>
      <w:szCs w:val="20"/>
    </w:rPr>
  </w:style>
  <w:style w:type="paragraph" w:styleId="CommentSubject">
    <w:name w:val="annotation subject"/>
    <w:basedOn w:val="CommentText"/>
    <w:next w:val="CommentText"/>
    <w:link w:val="CommentSubjectChar"/>
    <w:uiPriority w:val="99"/>
    <w:semiHidden/>
    <w:unhideWhenUsed/>
    <w:rsid w:val="00CF6278"/>
    <w:rPr>
      <w:b/>
      <w:bCs/>
    </w:rPr>
  </w:style>
  <w:style w:type="character" w:customStyle="1" w:styleId="CommentSubjectChar">
    <w:name w:val="Comment Subject Char"/>
    <w:link w:val="CommentSubject"/>
    <w:uiPriority w:val="99"/>
    <w:semiHidden/>
    <w:rsid w:val="00CF6278"/>
    <w:rPr>
      <w:b/>
      <w:bCs/>
      <w:sz w:val="20"/>
      <w:szCs w:val="20"/>
    </w:rPr>
  </w:style>
  <w:style w:type="paragraph" w:styleId="Revision">
    <w:name w:val="Revision"/>
    <w:hidden/>
    <w:uiPriority w:val="99"/>
    <w:semiHidden/>
    <w:rsid w:val="00066FBC"/>
    <w:rPr>
      <w:sz w:val="24"/>
      <w:szCs w:val="24"/>
    </w:rPr>
  </w:style>
  <w:style w:type="character" w:styleId="Strong">
    <w:name w:val="Strong"/>
    <w:uiPriority w:val="22"/>
    <w:qFormat/>
    <w:rsid w:val="00E97DFC"/>
    <w:rPr>
      <w:b/>
      <w:bCs/>
    </w:rPr>
  </w:style>
  <w:style w:type="character" w:styleId="FollowedHyperlink">
    <w:name w:val="FollowedHyperlink"/>
    <w:uiPriority w:val="99"/>
    <w:semiHidden/>
    <w:unhideWhenUsed/>
    <w:rsid w:val="00092055"/>
    <w:rPr>
      <w:color w:val="954F72"/>
      <w:u w:val="single"/>
    </w:rPr>
  </w:style>
  <w:style w:type="character" w:styleId="Emphasis">
    <w:name w:val="Emphasis"/>
    <w:uiPriority w:val="20"/>
    <w:qFormat/>
    <w:rsid w:val="00CA72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96195">
      <w:bodyDiv w:val="1"/>
      <w:marLeft w:val="0"/>
      <w:marRight w:val="0"/>
      <w:marTop w:val="0"/>
      <w:marBottom w:val="0"/>
      <w:divBdr>
        <w:top w:val="none" w:sz="0" w:space="0" w:color="auto"/>
        <w:left w:val="none" w:sz="0" w:space="0" w:color="auto"/>
        <w:bottom w:val="none" w:sz="0" w:space="0" w:color="auto"/>
        <w:right w:val="none" w:sz="0" w:space="0" w:color="auto"/>
      </w:divBdr>
    </w:div>
    <w:div w:id="97801627">
      <w:bodyDiv w:val="1"/>
      <w:marLeft w:val="0"/>
      <w:marRight w:val="0"/>
      <w:marTop w:val="0"/>
      <w:marBottom w:val="0"/>
      <w:divBdr>
        <w:top w:val="none" w:sz="0" w:space="0" w:color="auto"/>
        <w:left w:val="none" w:sz="0" w:space="0" w:color="auto"/>
        <w:bottom w:val="none" w:sz="0" w:space="0" w:color="auto"/>
        <w:right w:val="none" w:sz="0" w:space="0" w:color="auto"/>
      </w:divBdr>
    </w:div>
    <w:div w:id="242419936">
      <w:bodyDiv w:val="1"/>
      <w:marLeft w:val="0"/>
      <w:marRight w:val="0"/>
      <w:marTop w:val="0"/>
      <w:marBottom w:val="0"/>
      <w:divBdr>
        <w:top w:val="none" w:sz="0" w:space="0" w:color="auto"/>
        <w:left w:val="none" w:sz="0" w:space="0" w:color="auto"/>
        <w:bottom w:val="none" w:sz="0" w:space="0" w:color="auto"/>
        <w:right w:val="none" w:sz="0" w:space="0" w:color="auto"/>
      </w:divBdr>
    </w:div>
    <w:div w:id="270283408">
      <w:bodyDiv w:val="1"/>
      <w:marLeft w:val="0"/>
      <w:marRight w:val="0"/>
      <w:marTop w:val="0"/>
      <w:marBottom w:val="0"/>
      <w:divBdr>
        <w:top w:val="none" w:sz="0" w:space="0" w:color="auto"/>
        <w:left w:val="none" w:sz="0" w:space="0" w:color="auto"/>
        <w:bottom w:val="none" w:sz="0" w:space="0" w:color="auto"/>
        <w:right w:val="none" w:sz="0" w:space="0" w:color="auto"/>
      </w:divBdr>
    </w:div>
    <w:div w:id="275138558">
      <w:bodyDiv w:val="1"/>
      <w:marLeft w:val="0"/>
      <w:marRight w:val="0"/>
      <w:marTop w:val="0"/>
      <w:marBottom w:val="0"/>
      <w:divBdr>
        <w:top w:val="none" w:sz="0" w:space="0" w:color="auto"/>
        <w:left w:val="none" w:sz="0" w:space="0" w:color="auto"/>
        <w:bottom w:val="none" w:sz="0" w:space="0" w:color="auto"/>
        <w:right w:val="none" w:sz="0" w:space="0" w:color="auto"/>
      </w:divBdr>
      <w:divsChild>
        <w:div w:id="1650473198">
          <w:marLeft w:val="0"/>
          <w:marRight w:val="0"/>
          <w:marTop w:val="0"/>
          <w:marBottom w:val="0"/>
          <w:divBdr>
            <w:top w:val="none" w:sz="0" w:space="0" w:color="auto"/>
            <w:left w:val="none" w:sz="0" w:space="0" w:color="auto"/>
            <w:bottom w:val="none" w:sz="0" w:space="0" w:color="auto"/>
            <w:right w:val="none" w:sz="0" w:space="0" w:color="auto"/>
          </w:divBdr>
          <w:divsChild>
            <w:div w:id="575824585">
              <w:marLeft w:val="0"/>
              <w:marRight w:val="0"/>
              <w:marTop w:val="0"/>
              <w:marBottom w:val="0"/>
              <w:divBdr>
                <w:top w:val="none" w:sz="0" w:space="0" w:color="auto"/>
                <w:left w:val="none" w:sz="0" w:space="0" w:color="auto"/>
                <w:bottom w:val="none" w:sz="0" w:space="0" w:color="auto"/>
                <w:right w:val="none" w:sz="0" w:space="0" w:color="auto"/>
              </w:divBdr>
              <w:divsChild>
                <w:div w:id="422145863">
                  <w:marLeft w:val="0"/>
                  <w:marRight w:val="0"/>
                  <w:marTop w:val="0"/>
                  <w:marBottom w:val="0"/>
                  <w:divBdr>
                    <w:top w:val="none" w:sz="0" w:space="0" w:color="auto"/>
                    <w:left w:val="none" w:sz="0" w:space="0" w:color="auto"/>
                    <w:bottom w:val="none" w:sz="0" w:space="0" w:color="auto"/>
                    <w:right w:val="none" w:sz="0" w:space="0" w:color="auto"/>
                  </w:divBdr>
                  <w:divsChild>
                    <w:div w:id="1107308034">
                      <w:marLeft w:val="0"/>
                      <w:marRight w:val="0"/>
                      <w:marTop w:val="0"/>
                      <w:marBottom w:val="0"/>
                      <w:divBdr>
                        <w:top w:val="none" w:sz="0" w:space="0" w:color="auto"/>
                        <w:left w:val="none" w:sz="0" w:space="0" w:color="auto"/>
                        <w:bottom w:val="none" w:sz="0" w:space="0" w:color="auto"/>
                        <w:right w:val="none" w:sz="0" w:space="0" w:color="auto"/>
                      </w:divBdr>
                      <w:divsChild>
                        <w:div w:id="40896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957806">
      <w:bodyDiv w:val="1"/>
      <w:marLeft w:val="0"/>
      <w:marRight w:val="0"/>
      <w:marTop w:val="0"/>
      <w:marBottom w:val="0"/>
      <w:divBdr>
        <w:top w:val="none" w:sz="0" w:space="0" w:color="auto"/>
        <w:left w:val="none" w:sz="0" w:space="0" w:color="auto"/>
        <w:bottom w:val="none" w:sz="0" w:space="0" w:color="auto"/>
        <w:right w:val="none" w:sz="0" w:space="0" w:color="auto"/>
      </w:divBdr>
    </w:div>
    <w:div w:id="398752966">
      <w:bodyDiv w:val="1"/>
      <w:marLeft w:val="0"/>
      <w:marRight w:val="0"/>
      <w:marTop w:val="0"/>
      <w:marBottom w:val="0"/>
      <w:divBdr>
        <w:top w:val="none" w:sz="0" w:space="0" w:color="auto"/>
        <w:left w:val="none" w:sz="0" w:space="0" w:color="auto"/>
        <w:bottom w:val="none" w:sz="0" w:space="0" w:color="auto"/>
        <w:right w:val="none" w:sz="0" w:space="0" w:color="auto"/>
      </w:divBdr>
    </w:div>
    <w:div w:id="449126742">
      <w:bodyDiv w:val="1"/>
      <w:marLeft w:val="0"/>
      <w:marRight w:val="0"/>
      <w:marTop w:val="0"/>
      <w:marBottom w:val="0"/>
      <w:divBdr>
        <w:top w:val="none" w:sz="0" w:space="0" w:color="auto"/>
        <w:left w:val="none" w:sz="0" w:space="0" w:color="auto"/>
        <w:bottom w:val="none" w:sz="0" w:space="0" w:color="auto"/>
        <w:right w:val="none" w:sz="0" w:space="0" w:color="auto"/>
      </w:divBdr>
    </w:div>
    <w:div w:id="472871382">
      <w:bodyDiv w:val="1"/>
      <w:marLeft w:val="0"/>
      <w:marRight w:val="0"/>
      <w:marTop w:val="0"/>
      <w:marBottom w:val="0"/>
      <w:divBdr>
        <w:top w:val="none" w:sz="0" w:space="0" w:color="auto"/>
        <w:left w:val="none" w:sz="0" w:space="0" w:color="auto"/>
        <w:bottom w:val="none" w:sz="0" w:space="0" w:color="auto"/>
        <w:right w:val="none" w:sz="0" w:space="0" w:color="auto"/>
      </w:divBdr>
    </w:div>
    <w:div w:id="606036936">
      <w:bodyDiv w:val="1"/>
      <w:marLeft w:val="0"/>
      <w:marRight w:val="0"/>
      <w:marTop w:val="0"/>
      <w:marBottom w:val="0"/>
      <w:divBdr>
        <w:top w:val="none" w:sz="0" w:space="0" w:color="auto"/>
        <w:left w:val="none" w:sz="0" w:space="0" w:color="auto"/>
        <w:bottom w:val="none" w:sz="0" w:space="0" w:color="auto"/>
        <w:right w:val="none" w:sz="0" w:space="0" w:color="auto"/>
      </w:divBdr>
    </w:div>
    <w:div w:id="904949818">
      <w:bodyDiv w:val="1"/>
      <w:marLeft w:val="0"/>
      <w:marRight w:val="0"/>
      <w:marTop w:val="0"/>
      <w:marBottom w:val="0"/>
      <w:divBdr>
        <w:top w:val="none" w:sz="0" w:space="0" w:color="auto"/>
        <w:left w:val="none" w:sz="0" w:space="0" w:color="auto"/>
        <w:bottom w:val="none" w:sz="0" w:space="0" w:color="auto"/>
        <w:right w:val="none" w:sz="0" w:space="0" w:color="auto"/>
      </w:divBdr>
    </w:div>
    <w:div w:id="1038235660">
      <w:bodyDiv w:val="1"/>
      <w:marLeft w:val="0"/>
      <w:marRight w:val="0"/>
      <w:marTop w:val="0"/>
      <w:marBottom w:val="0"/>
      <w:divBdr>
        <w:top w:val="none" w:sz="0" w:space="0" w:color="auto"/>
        <w:left w:val="none" w:sz="0" w:space="0" w:color="auto"/>
        <w:bottom w:val="none" w:sz="0" w:space="0" w:color="auto"/>
        <w:right w:val="none" w:sz="0" w:space="0" w:color="auto"/>
      </w:divBdr>
    </w:div>
    <w:div w:id="1075011368">
      <w:bodyDiv w:val="1"/>
      <w:marLeft w:val="0"/>
      <w:marRight w:val="0"/>
      <w:marTop w:val="0"/>
      <w:marBottom w:val="0"/>
      <w:divBdr>
        <w:top w:val="none" w:sz="0" w:space="0" w:color="auto"/>
        <w:left w:val="none" w:sz="0" w:space="0" w:color="auto"/>
        <w:bottom w:val="none" w:sz="0" w:space="0" w:color="auto"/>
        <w:right w:val="none" w:sz="0" w:space="0" w:color="auto"/>
      </w:divBdr>
      <w:divsChild>
        <w:div w:id="76022455">
          <w:marLeft w:val="0"/>
          <w:marRight w:val="0"/>
          <w:marTop w:val="0"/>
          <w:marBottom w:val="0"/>
          <w:divBdr>
            <w:top w:val="none" w:sz="0" w:space="0" w:color="auto"/>
            <w:left w:val="none" w:sz="0" w:space="0" w:color="auto"/>
            <w:bottom w:val="none" w:sz="0" w:space="0" w:color="auto"/>
            <w:right w:val="none" w:sz="0" w:space="0" w:color="auto"/>
          </w:divBdr>
        </w:div>
      </w:divsChild>
    </w:div>
    <w:div w:id="1093471624">
      <w:bodyDiv w:val="1"/>
      <w:marLeft w:val="0"/>
      <w:marRight w:val="0"/>
      <w:marTop w:val="0"/>
      <w:marBottom w:val="0"/>
      <w:divBdr>
        <w:top w:val="none" w:sz="0" w:space="0" w:color="auto"/>
        <w:left w:val="none" w:sz="0" w:space="0" w:color="auto"/>
        <w:bottom w:val="none" w:sz="0" w:space="0" w:color="auto"/>
        <w:right w:val="none" w:sz="0" w:space="0" w:color="auto"/>
      </w:divBdr>
    </w:div>
    <w:div w:id="1334601990">
      <w:bodyDiv w:val="1"/>
      <w:marLeft w:val="0"/>
      <w:marRight w:val="0"/>
      <w:marTop w:val="0"/>
      <w:marBottom w:val="0"/>
      <w:divBdr>
        <w:top w:val="none" w:sz="0" w:space="0" w:color="auto"/>
        <w:left w:val="none" w:sz="0" w:space="0" w:color="auto"/>
        <w:bottom w:val="none" w:sz="0" w:space="0" w:color="auto"/>
        <w:right w:val="none" w:sz="0" w:space="0" w:color="auto"/>
      </w:divBdr>
    </w:div>
    <w:div w:id="1404718580">
      <w:bodyDiv w:val="1"/>
      <w:marLeft w:val="0"/>
      <w:marRight w:val="0"/>
      <w:marTop w:val="0"/>
      <w:marBottom w:val="0"/>
      <w:divBdr>
        <w:top w:val="none" w:sz="0" w:space="0" w:color="auto"/>
        <w:left w:val="none" w:sz="0" w:space="0" w:color="auto"/>
        <w:bottom w:val="none" w:sz="0" w:space="0" w:color="auto"/>
        <w:right w:val="none" w:sz="0" w:space="0" w:color="auto"/>
      </w:divBdr>
    </w:div>
    <w:div w:id="1554852902">
      <w:bodyDiv w:val="1"/>
      <w:marLeft w:val="0"/>
      <w:marRight w:val="0"/>
      <w:marTop w:val="0"/>
      <w:marBottom w:val="0"/>
      <w:divBdr>
        <w:top w:val="none" w:sz="0" w:space="0" w:color="auto"/>
        <w:left w:val="none" w:sz="0" w:space="0" w:color="auto"/>
        <w:bottom w:val="none" w:sz="0" w:space="0" w:color="auto"/>
        <w:right w:val="none" w:sz="0" w:space="0" w:color="auto"/>
      </w:divBdr>
    </w:div>
    <w:div w:id="1627857930">
      <w:bodyDiv w:val="1"/>
      <w:marLeft w:val="0"/>
      <w:marRight w:val="0"/>
      <w:marTop w:val="0"/>
      <w:marBottom w:val="0"/>
      <w:divBdr>
        <w:top w:val="none" w:sz="0" w:space="0" w:color="auto"/>
        <w:left w:val="none" w:sz="0" w:space="0" w:color="auto"/>
        <w:bottom w:val="none" w:sz="0" w:space="0" w:color="auto"/>
        <w:right w:val="none" w:sz="0" w:space="0" w:color="auto"/>
      </w:divBdr>
    </w:div>
    <w:div w:id="1667202440">
      <w:bodyDiv w:val="1"/>
      <w:marLeft w:val="0"/>
      <w:marRight w:val="0"/>
      <w:marTop w:val="0"/>
      <w:marBottom w:val="0"/>
      <w:divBdr>
        <w:top w:val="none" w:sz="0" w:space="0" w:color="auto"/>
        <w:left w:val="none" w:sz="0" w:space="0" w:color="auto"/>
        <w:bottom w:val="none" w:sz="0" w:space="0" w:color="auto"/>
        <w:right w:val="none" w:sz="0" w:space="0" w:color="auto"/>
      </w:divBdr>
    </w:div>
    <w:div w:id="2063794806">
      <w:bodyDiv w:val="1"/>
      <w:marLeft w:val="0"/>
      <w:marRight w:val="0"/>
      <w:marTop w:val="0"/>
      <w:marBottom w:val="0"/>
      <w:divBdr>
        <w:top w:val="none" w:sz="0" w:space="0" w:color="auto"/>
        <w:left w:val="none" w:sz="0" w:space="0" w:color="auto"/>
        <w:bottom w:val="none" w:sz="0" w:space="0" w:color="auto"/>
        <w:right w:val="none" w:sz="0" w:space="0" w:color="auto"/>
      </w:divBdr>
    </w:div>
    <w:div w:id="2089420665">
      <w:bodyDiv w:val="1"/>
      <w:marLeft w:val="0"/>
      <w:marRight w:val="0"/>
      <w:marTop w:val="0"/>
      <w:marBottom w:val="0"/>
      <w:divBdr>
        <w:top w:val="none" w:sz="0" w:space="0" w:color="auto"/>
        <w:left w:val="none" w:sz="0" w:space="0" w:color="auto"/>
        <w:bottom w:val="none" w:sz="0" w:space="0" w:color="auto"/>
        <w:right w:val="none" w:sz="0" w:space="0" w:color="auto"/>
      </w:divBdr>
    </w:div>
    <w:div w:id="212121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center.kidscount.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ecf.org/resources/2021-kids-count-data-boo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ecf.org" TargetMode="External"/><Relationship Id="rId4" Type="http://schemas.openxmlformats.org/officeDocument/2006/relationships/webSettings" Target="webSettings.xml"/><Relationship Id="rId9" Type="http://schemas.openxmlformats.org/officeDocument/2006/relationships/hyperlink" Target="https://gafcp.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2D577-9355-0F4E-A810-9F86C7627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8582</CharactersWithSpaces>
  <SharedDoc>false</SharedDoc>
  <HLinks>
    <vt:vector size="42" baseType="variant">
      <vt:variant>
        <vt:i4>5898331</vt:i4>
      </vt:variant>
      <vt:variant>
        <vt:i4>15</vt:i4>
      </vt:variant>
      <vt:variant>
        <vt:i4>0</vt:i4>
      </vt:variant>
      <vt:variant>
        <vt:i4>5</vt:i4>
      </vt:variant>
      <vt:variant>
        <vt:lpwstr>http://www.aecf.org/</vt:lpwstr>
      </vt:variant>
      <vt:variant>
        <vt:lpwstr/>
      </vt:variant>
      <vt:variant>
        <vt:i4>6291513</vt:i4>
      </vt:variant>
      <vt:variant>
        <vt:i4>12</vt:i4>
      </vt:variant>
      <vt:variant>
        <vt:i4>0</vt:i4>
      </vt:variant>
      <vt:variant>
        <vt:i4>5</vt:i4>
      </vt:variant>
      <vt:variant>
        <vt:lpwstr>https://gafcp.org/</vt:lpwstr>
      </vt:variant>
      <vt:variant>
        <vt:lpwstr/>
      </vt:variant>
      <vt:variant>
        <vt:i4>1376271</vt:i4>
      </vt:variant>
      <vt:variant>
        <vt:i4>9</vt:i4>
      </vt:variant>
      <vt:variant>
        <vt:i4>0</vt:i4>
      </vt:variant>
      <vt:variant>
        <vt:i4>5</vt:i4>
      </vt:variant>
      <vt:variant>
        <vt:lpwstr>http://datacenter.kidscount.org/</vt:lpwstr>
      </vt:variant>
      <vt:variant>
        <vt:lpwstr/>
      </vt:variant>
      <vt:variant>
        <vt:i4>6160415</vt:i4>
      </vt:variant>
      <vt:variant>
        <vt:i4>6</vt:i4>
      </vt:variant>
      <vt:variant>
        <vt:i4>0</vt:i4>
      </vt:variant>
      <vt:variant>
        <vt:i4>5</vt:i4>
      </vt:variant>
      <vt:variant>
        <vt:lpwstr>http://aecf.org/databook</vt:lpwstr>
      </vt:variant>
      <vt:variant>
        <vt:lpwstr/>
      </vt:variant>
      <vt:variant>
        <vt:i4>589879</vt:i4>
      </vt:variant>
      <vt:variant>
        <vt:i4>3</vt:i4>
      </vt:variant>
      <vt:variant>
        <vt:i4>0</vt:i4>
      </vt:variant>
      <vt:variant>
        <vt:i4>5</vt:i4>
      </vt:variant>
      <vt:variant>
        <vt:lpwstr>mailto:rebecca@gafcp.org</vt:lpwstr>
      </vt:variant>
      <vt:variant>
        <vt:lpwstr/>
      </vt:variant>
      <vt:variant>
        <vt:i4>2818174</vt:i4>
      </vt:variant>
      <vt:variant>
        <vt:i4>0</vt:i4>
      </vt:variant>
      <vt:variant>
        <vt:i4>0</vt:i4>
      </vt:variant>
      <vt:variant>
        <vt:i4>5</vt:i4>
      </vt:variant>
      <vt:variant>
        <vt:lpwstr>https://www.census.gov/data-tools/demo/hhp/</vt:lpwstr>
      </vt:variant>
      <vt:variant>
        <vt:lpwstr>/?measures=EMR&amp;s_metro=&amp;mapAreaSelector=st&amp;s_state=00013</vt:lpwstr>
      </vt:variant>
      <vt:variant>
        <vt:i4>262192</vt:i4>
      </vt:variant>
      <vt:variant>
        <vt:i4>0</vt:i4>
      </vt:variant>
      <vt:variant>
        <vt:i4>0</vt:i4>
      </vt:variant>
      <vt:variant>
        <vt:i4>5</vt:i4>
      </vt:variant>
      <vt:variant>
        <vt:lpwstr>mailto:william@gafcp.org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Rice</dc:creator>
  <cp:keywords/>
  <dc:description/>
  <cp:lastModifiedBy>William Valladares</cp:lastModifiedBy>
  <cp:revision>8</cp:revision>
  <cp:lastPrinted>2019-06-17T11:08:00Z</cp:lastPrinted>
  <dcterms:created xsi:type="dcterms:W3CDTF">2021-06-15T19:42:00Z</dcterms:created>
  <dcterms:modified xsi:type="dcterms:W3CDTF">2021-06-21T11:33:00Z</dcterms:modified>
</cp:coreProperties>
</file>