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0D906" w14:textId="77777777" w:rsidR="00AD7C67" w:rsidRDefault="00AD7C67" w:rsidP="00E97DFC">
      <w:pPr>
        <w:rPr>
          <w:rFonts w:ascii="Arial" w:hAnsi="Arial" w:cs="Arial"/>
          <w:b/>
          <w:bCs/>
          <w:sz w:val="22"/>
          <w:szCs w:val="22"/>
        </w:rPr>
      </w:pPr>
    </w:p>
    <w:p w14:paraId="63062E2B" w14:textId="518E5146" w:rsidR="00AD63F1" w:rsidRPr="00D510E5" w:rsidRDefault="00D510E5" w:rsidP="00E97DFC">
      <w:pPr>
        <w:rPr>
          <w:rFonts w:ascii="Arial" w:hAnsi="Arial" w:cs="Arial"/>
          <w:b/>
          <w:bCs/>
          <w:color w:val="000000"/>
          <w:sz w:val="22"/>
          <w:szCs w:val="22"/>
        </w:rPr>
      </w:pPr>
      <w:r w:rsidRPr="00D510E5">
        <w:rPr>
          <w:rFonts w:ascii="Arial" w:hAnsi="Arial" w:cs="Arial"/>
          <w:b/>
          <w:bCs/>
          <w:sz w:val="22"/>
          <w:szCs w:val="22"/>
        </w:rPr>
        <w:t xml:space="preserve">UNDER </w:t>
      </w:r>
      <w:r w:rsidRPr="00D510E5">
        <w:rPr>
          <w:rFonts w:ascii="Arial" w:hAnsi="Arial" w:cs="Arial"/>
          <w:b/>
          <w:bCs/>
          <w:sz w:val="22"/>
          <w:szCs w:val="22"/>
          <w:highlight w:val="white"/>
        </w:rPr>
        <w:t xml:space="preserve">EMBARGO UNTIL JUNE 8, 2026, </w:t>
      </w:r>
      <w:r w:rsidRPr="00D510E5">
        <w:rPr>
          <w:rFonts w:ascii="Arial" w:hAnsi="Arial" w:cs="Arial"/>
          <w:b/>
          <w:bCs/>
          <w:sz w:val="22"/>
          <w:szCs w:val="22"/>
        </w:rPr>
        <w:t>at 12:01 a.m. ET</w:t>
      </w:r>
      <w:r w:rsidRPr="00D510E5">
        <w:rPr>
          <w:rFonts w:ascii="Arial" w:hAnsi="Arial" w:cs="Arial"/>
          <w:sz w:val="22"/>
          <w:szCs w:val="22"/>
        </w:rPr>
        <w:t xml:space="preserve"> </w:t>
      </w:r>
      <w:r w:rsidR="00A11EE1" w:rsidRPr="00D510E5">
        <w:rPr>
          <w:rFonts w:ascii="Arial" w:hAnsi="Arial" w:cs="Arial"/>
          <w:b/>
          <w:bCs/>
          <w:color w:val="000000"/>
          <w:sz w:val="22"/>
          <w:szCs w:val="22"/>
        </w:rPr>
        <w:t xml:space="preserve">June </w:t>
      </w:r>
      <w:r w:rsidRPr="00D510E5">
        <w:rPr>
          <w:rFonts w:ascii="Arial" w:hAnsi="Arial" w:cs="Arial"/>
          <w:b/>
          <w:bCs/>
          <w:color w:val="000000"/>
          <w:sz w:val="22"/>
          <w:szCs w:val="22"/>
        </w:rPr>
        <w:t>8</w:t>
      </w:r>
      <w:r w:rsidR="00A11EE1" w:rsidRPr="00D510E5">
        <w:rPr>
          <w:rFonts w:ascii="Arial" w:hAnsi="Arial" w:cs="Arial"/>
          <w:b/>
          <w:bCs/>
          <w:color w:val="000000"/>
          <w:sz w:val="22"/>
          <w:szCs w:val="22"/>
        </w:rPr>
        <w:t>, 202</w:t>
      </w:r>
      <w:r w:rsidRPr="00D510E5">
        <w:rPr>
          <w:rFonts w:ascii="Arial" w:hAnsi="Arial" w:cs="Arial"/>
          <w:b/>
          <w:bCs/>
          <w:color w:val="000000"/>
          <w:sz w:val="22"/>
          <w:szCs w:val="22"/>
        </w:rPr>
        <w:t>6</w:t>
      </w:r>
    </w:p>
    <w:p w14:paraId="2782733B" w14:textId="77777777" w:rsidR="00681370" w:rsidRDefault="00681370" w:rsidP="001441FE">
      <w:pPr>
        <w:rPr>
          <w:rFonts w:ascii="Arial" w:hAnsi="Arial" w:cs="Arial"/>
          <w:b/>
          <w:bCs/>
          <w:color w:val="000000"/>
        </w:rPr>
      </w:pPr>
    </w:p>
    <w:p w14:paraId="3D12BC45" w14:textId="35829001" w:rsidR="00A64564" w:rsidRPr="00684BC6" w:rsidRDefault="00A64564" w:rsidP="00A64564">
      <w:pPr>
        <w:shd w:val="clear" w:color="auto" w:fill="FFFFFF"/>
        <w:jc w:val="center"/>
        <w:rPr>
          <w:rFonts w:ascii="Arial" w:hAnsi="Arial" w:cs="Arial"/>
          <w:b/>
          <w:bCs/>
          <w:sz w:val="28"/>
          <w:szCs w:val="28"/>
        </w:rPr>
      </w:pPr>
      <w:r w:rsidRPr="00684BC6">
        <w:rPr>
          <w:rFonts w:ascii="Arial" w:hAnsi="Arial" w:cs="Arial"/>
          <w:b/>
          <w:bCs/>
          <w:sz w:val="28"/>
          <w:szCs w:val="28"/>
        </w:rPr>
        <w:t>Georgia Ranks 3</w:t>
      </w:r>
      <w:r w:rsidR="00A11EE1">
        <w:rPr>
          <w:rFonts w:ascii="Arial" w:hAnsi="Arial" w:cs="Arial"/>
          <w:b/>
          <w:bCs/>
          <w:sz w:val="28"/>
          <w:szCs w:val="28"/>
        </w:rPr>
        <w:t>9</w:t>
      </w:r>
      <w:r w:rsidRPr="00A11EE1">
        <w:rPr>
          <w:rFonts w:ascii="Arial" w:hAnsi="Arial" w:cs="Arial"/>
          <w:b/>
          <w:bCs/>
          <w:sz w:val="28"/>
          <w:szCs w:val="28"/>
        </w:rPr>
        <w:t>th</w:t>
      </w:r>
      <w:r w:rsidRPr="00684BC6">
        <w:rPr>
          <w:rFonts w:ascii="Arial" w:hAnsi="Arial" w:cs="Arial"/>
          <w:b/>
          <w:bCs/>
          <w:sz w:val="28"/>
          <w:szCs w:val="28"/>
        </w:rPr>
        <w:t xml:space="preserve"> in the Nation for Child and Family Well-Being</w:t>
      </w:r>
    </w:p>
    <w:p w14:paraId="12CD7677" w14:textId="2134BAE7" w:rsidR="00A64564" w:rsidRDefault="0001323B" w:rsidP="00A64564">
      <w:pPr>
        <w:shd w:val="clear" w:color="auto" w:fill="FFFFFF"/>
        <w:jc w:val="center"/>
        <w:rPr>
          <w:rFonts w:ascii="Arial" w:hAnsi="Arial" w:cs="Arial"/>
          <w:sz w:val="22"/>
          <w:szCs w:val="22"/>
        </w:rPr>
      </w:pPr>
      <w:r w:rsidRPr="0064367F">
        <w:rPr>
          <w:rFonts w:ascii="Arial" w:hAnsi="Arial" w:cs="Arial"/>
          <w:color w:val="000000" w:themeColor="text1"/>
          <w:sz w:val="22"/>
          <w:szCs w:val="22"/>
        </w:rPr>
        <w:t>Health Setbacks Overshadow Economic Gains as Georgia Slips in New Index</w:t>
      </w:r>
    </w:p>
    <w:p w14:paraId="6F466D13" w14:textId="77777777" w:rsidR="00A64564" w:rsidRDefault="00A64564" w:rsidP="00A64564">
      <w:pPr>
        <w:shd w:val="clear" w:color="auto" w:fill="FFFFFF"/>
        <w:rPr>
          <w:rFonts w:ascii="Arial" w:hAnsi="Arial" w:cs="Arial"/>
          <w:sz w:val="22"/>
          <w:szCs w:val="22"/>
        </w:rPr>
      </w:pPr>
    </w:p>
    <w:p w14:paraId="3A6807FE" w14:textId="77777777" w:rsidR="0001323B" w:rsidRPr="0064367F" w:rsidRDefault="0001323B" w:rsidP="0001323B">
      <w:pPr>
        <w:jc w:val="center"/>
        <w:rPr>
          <w:rFonts w:ascii="Arial" w:hAnsi="Arial" w:cs="Arial"/>
          <w:color w:val="000000" w:themeColor="text1"/>
        </w:rPr>
      </w:pPr>
      <w:r w:rsidRPr="0064367F">
        <w:rPr>
          <w:rFonts w:ascii="Arial" w:hAnsi="Arial" w:cs="Arial"/>
          <w:i/>
          <w:iCs/>
          <w:color w:val="000000" w:themeColor="text1"/>
        </w:rPr>
        <w:t>Child and teen deaths surge faster than the national rate; low birthweight ticks up; and population of uninsured children rise—even as fewer children are living in poverty and economic conditions improve</w:t>
      </w:r>
      <w:r>
        <w:rPr>
          <w:i/>
          <w:iCs/>
          <w:color w:val="000000" w:themeColor="text1"/>
        </w:rPr>
        <w:t>.</w:t>
      </w:r>
    </w:p>
    <w:p w14:paraId="3E532651" w14:textId="77777777" w:rsidR="00A64564" w:rsidRPr="008718CB" w:rsidRDefault="00A64564" w:rsidP="00A64564">
      <w:pPr>
        <w:shd w:val="clear" w:color="auto" w:fill="FFFFFF"/>
        <w:rPr>
          <w:sz w:val="22"/>
          <w:szCs w:val="22"/>
        </w:rPr>
      </w:pPr>
    </w:p>
    <w:p w14:paraId="73625184" w14:textId="77777777" w:rsidR="00D510E5" w:rsidRPr="0001323B" w:rsidRDefault="00D510E5" w:rsidP="00D510E5">
      <w:pPr>
        <w:rPr>
          <w:color w:val="000000" w:themeColor="text1"/>
          <w:sz w:val="22"/>
          <w:szCs w:val="22"/>
        </w:rPr>
      </w:pPr>
      <w:r w:rsidRPr="0001323B">
        <w:rPr>
          <w:b/>
          <w:bCs/>
          <w:color w:val="000000" w:themeColor="text1"/>
          <w:sz w:val="22"/>
          <w:szCs w:val="22"/>
        </w:rPr>
        <w:t>ATLANTA—</w:t>
      </w:r>
      <w:r w:rsidRPr="0001323B">
        <w:rPr>
          <w:sz w:val="22"/>
          <w:szCs w:val="22"/>
        </w:rPr>
        <w:t xml:space="preserve">Georgia ranks 39th out of 50 states for overall child and family well-being, according to the </w:t>
      </w:r>
      <w:r w:rsidRPr="0001323B">
        <w:rPr>
          <w:i/>
          <w:iCs/>
          <w:sz w:val="22"/>
          <w:szCs w:val="22"/>
        </w:rPr>
        <w:t>2026 KIDS COUNT</w:t>
      </w:r>
      <w:r w:rsidRPr="00BD7FD7">
        <w:rPr>
          <w:i/>
          <w:iCs/>
          <w:sz w:val="22"/>
          <w:szCs w:val="22"/>
        </w:rPr>
        <w:t>®</w:t>
      </w:r>
      <w:r w:rsidRPr="0001323B">
        <w:rPr>
          <w:i/>
          <w:iCs/>
          <w:sz w:val="22"/>
          <w:szCs w:val="22"/>
        </w:rPr>
        <w:t xml:space="preserve"> Data Book</w:t>
      </w:r>
      <w:r w:rsidRPr="0001323B">
        <w:rPr>
          <w:sz w:val="22"/>
          <w:szCs w:val="22"/>
        </w:rPr>
        <w:t>, released today by the Annie E. Casey Foundation.</w:t>
      </w:r>
    </w:p>
    <w:p w14:paraId="1DDE3C6D" w14:textId="77777777" w:rsidR="00D510E5" w:rsidRPr="0001323B" w:rsidRDefault="00D510E5" w:rsidP="00D510E5">
      <w:pPr>
        <w:rPr>
          <w:sz w:val="22"/>
          <w:szCs w:val="22"/>
        </w:rPr>
      </w:pPr>
    </w:p>
    <w:p w14:paraId="71C0E4A8" w14:textId="77777777" w:rsidR="00D510E5" w:rsidRPr="0001323B" w:rsidRDefault="00D510E5" w:rsidP="00D510E5">
      <w:pPr>
        <w:rPr>
          <w:sz w:val="22"/>
          <w:szCs w:val="22"/>
        </w:rPr>
      </w:pPr>
      <w:r w:rsidRPr="0001323B">
        <w:rPr>
          <w:sz w:val="22"/>
          <w:szCs w:val="22"/>
        </w:rPr>
        <w:t>For the first time, the publication includes a new scoring methodology in addition to rankings, making it easier to track whether outcomes for children and families are improving or worsening over time. While Georgia held steady from last year’s published rank at 39th, our state’s score declined slightly, indicating that child well-being worsened modestly compared with the previous report. That downward trend continues a gradual slide from the state's highest-ever ranking of 37th in 2023 and 2024.</w:t>
      </w:r>
    </w:p>
    <w:p w14:paraId="1010F0AD" w14:textId="77777777" w:rsidR="00D510E5" w:rsidRPr="0001323B" w:rsidRDefault="00D510E5" w:rsidP="00D510E5">
      <w:pPr>
        <w:rPr>
          <w:color w:val="000000" w:themeColor="text1"/>
          <w:sz w:val="22"/>
          <w:szCs w:val="22"/>
        </w:rPr>
      </w:pPr>
    </w:p>
    <w:p w14:paraId="74EDE90C" w14:textId="616B8570" w:rsidR="00D510E5" w:rsidRPr="0001323B" w:rsidRDefault="00D510E5" w:rsidP="00D510E5">
      <w:pPr>
        <w:rPr>
          <w:sz w:val="22"/>
          <w:szCs w:val="22"/>
        </w:rPr>
      </w:pPr>
      <w:r w:rsidRPr="0001323B">
        <w:rPr>
          <w:sz w:val="22"/>
          <w:szCs w:val="22"/>
        </w:rPr>
        <w:t xml:space="preserve">Georgia ranked 48th in the inaugural </w:t>
      </w:r>
      <w:r w:rsidR="00BD7FD7" w:rsidRPr="0001323B">
        <w:rPr>
          <w:i/>
          <w:iCs/>
          <w:sz w:val="22"/>
          <w:szCs w:val="22"/>
        </w:rPr>
        <w:t xml:space="preserve">KIDS COUNT® </w:t>
      </w:r>
      <w:r w:rsidRPr="0001323B">
        <w:rPr>
          <w:i/>
          <w:iCs/>
          <w:sz w:val="22"/>
          <w:szCs w:val="22"/>
        </w:rPr>
        <w:t>Data Book</w:t>
      </w:r>
      <w:r w:rsidRPr="0001323B">
        <w:rPr>
          <w:sz w:val="22"/>
          <w:szCs w:val="22"/>
        </w:rPr>
        <w:t xml:space="preserve">, released in 1990, and has not been among the bottom 10 states since 2017—but recent progress has stalled. The state’s challenges are most evident in health outcomes, where Georgia fell </w:t>
      </w:r>
      <w:r w:rsidR="00F550B9">
        <w:rPr>
          <w:sz w:val="22"/>
          <w:szCs w:val="22"/>
        </w:rPr>
        <w:t>six</w:t>
      </w:r>
      <w:r w:rsidRPr="0001323B">
        <w:rPr>
          <w:sz w:val="22"/>
          <w:szCs w:val="22"/>
        </w:rPr>
        <w:t xml:space="preserve"> places to 45th, even as gains in economic well-being improved three spots to 34th.</w:t>
      </w:r>
    </w:p>
    <w:p w14:paraId="66126725" w14:textId="77777777" w:rsidR="00D510E5" w:rsidRPr="0001323B" w:rsidRDefault="00D510E5" w:rsidP="00D510E5">
      <w:pPr>
        <w:rPr>
          <w:color w:val="000000" w:themeColor="text1"/>
          <w:sz w:val="22"/>
          <w:szCs w:val="22"/>
        </w:rPr>
      </w:pPr>
    </w:p>
    <w:p w14:paraId="6B0BE4F5" w14:textId="77777777" w:rsidR="00D510E5" w:rsidRPr="0001323B" w:rsidRDefault="00D510E5" w:rsidP="00D510E5">
      <w:pPr>
        <w:rPr>
          <w:color w:val="000000"/>
          <w:sz w:val="22"/>
          <w:szCs w:val="22"/>
        </w:rPr>
      </w:pPr>
      <w:r w:rsidRPr="0001323B">
        <w:rPr>
          <w:color w:val="000000"/>
          <w:sz w:val="22"/>
          <w:szCs w:val="22"/>
        </w:rPr>
        <w:t>“When we dig into the data and look at how states are clustered, Georgia can either take action and make meaningful gains or maintain the status quo and regress further—dropping us into the bottom 10,” said Georgia Family Connection Partnership (</w:t>
      </w:r>
      <w:proofErr w:type="spellStart"/>
      <w:r w:rsidRPr="0001323B">
        <w:rPr>
          <w:color w:val="000000"/>
          <w:sz w:val="22"/>
          <w:szCs w:val="22"/>
        </w:rPr>
        <w:t>GaFCP</w:t>
      </w:r>
      <w:proofErr w:type="spellEnd"/>
      <w:r w:rsidRPr="0001323B">
        <w:rPr>
          <w:color w:val="000000"/>
          <w:sz w:val="22"/>
          <w:szCs w:val="22"/>
        </w:rPr>
        <w:t>) Data Manager Jacquan Jordan. “Given this data story and how quickly our state is evolving, our call to action is clear. We must look beyond the surface, because when we peel back the layers of the data, we discover hard-working Georgians who are living on the edge.”</w:t>
      </w:r>
    </w:p>
    <w:p w14:paraId="425B8822" w14:textId="77777777" w:rsidR="00D510E5" w:rsidRPr="0001323B" w:rsidRDefault="00D510E5" w:rsidP="00D510E5">
      <w:pPr>
        <w:rPr>
          <w:color w:val="000000" w:themeColor="text1"/>
          <w:sz w:val="22"/>
          <w:szCs w:val="22"/>
        </w:rPr>
      </w:pPr>
    </w:p>
    <w:p w14:paraId="4C82673A" w14:textId="77777777" w:rsidR="00D510E5" w:rsidRPr="0001323B" w:rsidRDefault="00D510E5" w:rsidP="00D510E5">
      <w:pPr>
        <w:rPr>
          <w:color w:val="000000" w:themeColor="text1"/>
          <w:sz w:val="22"/>
          <w:szCs w:val="22"/>
        </w:rPr>
      </w:pPr>
      <w:r w:rsidRPr="0001323B">
        <w:rPr>
          <w:color w:val="000000" w:themeColor="text1"/>
          <w:sz w:val="22"/>
          <w:szCs w:val="22"/>
        </w:rPr>
        <w:t xml:space="preserve">The </w:t>
      </w:r>
      <w:r w:rsidRPr="0001323B">
        <w:rPr>
          <w:i/>
          <w:iCs/>
          <w:color w:val="000000" w:themeColor="text1"/>
          <w:sz w:val="22"/>
          <w:szCs w:val="22"/>
        </w:rPr>
        <w:t>KIDS COUNT® Data Book</w:t>
      </w:r>
      <w:r w:rsidRPr="0001323B">
        <w:rPr>
          <w:color w:val="000000" w:themeColor="text1"/>
          <w:sz w:val="22"/>
          <w:szCs w:val="22"/>
        </w:rPr>
        <w:t xml:space="preserve"> uses 16 indicators to rank each state across four domains—health, education, economic well-being, and family and community—to assess child and family well-being. The 2026 </w:t>
      </w:r>
      <w:r w:rsidRPr="0001323B">
        <w:rPr>
          <w:i/>
          <w:iCs/>
          <w:color w:val="000000" w:themeColor="text1"/>
          <w:sz w:val="22"/>
          <w:szCs w:val="22"/>
        </w:rPr>
        <w:t>Data Book</w:t>
      </w:r>
      <w:r w:rsidRPr="0001323B">
        <w:rPr>
          <w:color w:val="000000" w:themeColor="text1"/>
          <w:sz w:val="22"/>
          <w:szCs w:val="22"/>
        </w:rPr>
        <w:t xml:space="preserve"> also introduces a new scoring system (0 – 1,000 scale) alongside traditional rankings, anchored to 2019 pre-pandemic baselines.</w:t>
      </w:r>
    </w:p>
    <w:p w14:paraId="41BF04F8" w14:textId="77777777" w:rsidR="00D510E5" w:rsidRPr="0001323B" w:rsidRDefault="00D510E5" w:rsidP="00D510E5">
      <w:pPr>
        <w:rPr>
          <w:color w:val="000000" w:themeColor="text1"/>
          <w:sz w:val="22"/>
          <w:szCs w:val="22"/>
        </w:rPr>
      </w:pPr>
    </w:p>
    <w:p w14:paraId="582E8352" w14:textId="77777777" w:rsidR="00D510E5" w:rsidRPr="0001323B" w:rsidRDefault="00D510E5" w:rsidP="00D510E5">
      <w:pPr>
        <w:rPr>
          <w:color w:val="000000" w:themeColor="text1"/>
          <w:sz w:val="22"/>
          <w:szCs w:val="22"/>
        </w:rPr>
      </w:pPr>
      <w:r w:rsidRPr="0001323B">
        <w:rPr>
          <w:color w:val="000000" w:themeColor="text1"/>
          <w:sz w:val="22"/>
          <w:szCs w:val="22"/>
        </w:rPr>
        <w:t>Georgia’s story is one of contrasts. The state made its most significant gains in economic well-being—with child poverty falling and teen employment improving. However, those gains were overshadowed by a sharp regression in health outcomes and continued struggles in education. Trends in family and community show modest improvement, though Georgia remains entrenched near the bottom of national rankings in that domain.</w:t>
      </w:r>
    </w:p>
    <w:p w14:paraId="0B70C9D8" w14:textId="77777777" w:rsidR="00D510E5" w:rsidRPr="0001323B" w:rsidRDefault="00D510E5" w:rsidP="00D510E5">
      <w:pPr>
        <w:rPr>
          <w:color w:val="000000" w:themeColor="text1"/>
          <w:sz w:val="22"/>
          <w:szCs w:val="22"/>
        </w:rPr>
      </w:pPr>
    </w:p>
    <w:p w14:paraId="00FC09E9" w14:textId="7DFAFBA8" w:rsidR="00D510E5" w:rsidRPr="0001323B" w:rsidRDefault="00D510E5" w:rsidP="00D510E5">
      <w:pPr>
        <w:rPr>
          <w:rFonts w:ascii="Arial" w:hAnsi="Arial" w:cs="Arial"/>
          <w:b/>
          <w:bCs/>
          <w:color w:val="000000" w:themeColor="text1"/>
          <w:sz w:val="22"/>
          <w:szCs w:val="22"/>
        </w:rPr>
      </w:pPr>
      <w:r w:rsidRPr="00BD7FD7">
        <w:rPr>
          <w:rFonts w:ascii="Arial" w:hAnsi="Arial" w:cs="Arial"/>
          <w:b/>
          <w:bCs/>
          <w:color w:val="000000" w:themeColor="text1"/>
          <w:sz w:val="22"/>
          <w:szCs w:val="22"/>
        </w:rPr>
        <w:lastRenderedPageBreak/>
        <w:t>Georgia Ranks</w:t>
      </w:r>
      <w:r w:rsidRPr="0001323B">
        <w:rPr>
          <w:b/>
          <w:bCs/>
          <w:color w:val="000000" w:themeColor="text1"/>
          <w:sz w:val="22"/>
          <w:szCs w:val="22"/>
        </w:rPr>
        <w:t xml:space="preserve"> </w:t>
      </w:r>
      <w:r w:rsidRPr="0001323B">
        <w:rPr>
          <w:rFonts w:ascii="Arial" w:hAnsi="Arial" w:cs="Arial"/>
          <w:b/>
          <w:bCs/>
          <w:color w:val="000000" w:themeColor="text1"/>
          <w:sz w:val="22"/>
          <w:szCs w:val="22"/>
        </w:rPr>
        <w:t>45th</w:t>
      </w:r>
      <w:r w:rsidRPr="0001323B">
        <w:rPr>
          <w:b/>
          <w:bCs/>
          <w:color w:val="000000" w:themeColor="text1"/>
          <w:sz w:val="22"/>
          <w:szCs w:val="22"/>
        </w:rPr>
        <w:t xml:space="preserve"> in </w:t>
      </w:r>
      <w:r w:rsidRPr="0001323B">
        <w:rPr>
          <w:rFonts w:ascii="Arial" w:hAnsi="Arial" w:cs="Arial"/>
          <w:b/>
          <w:bCs/>
          <w:color w:val="000000" w:themeColor="text1"/>
          <w:sz w:val="22"/>
          <w:szCs w:val="22"/>
        </w:rPr>
        <w:t xml:space="preserve">Health (down from </w:t>
      </w:r>
      <w:r w:rsidR="00BD21CF">
        <w:rPr>
          <w:rFonts w:ascii="Arial" w:hAnsi="Arial" w:cs="Arial"/>
          <w:b/>
          <w:bCs/>
          <w:color w:val="000000" w:themeColor="text1"/>
          <w:sz w:val="22"/>
          <w:szCs w:val="22"/>
        </w:rPr>
        <w:t>39</w:t>
      </w:r>
      <w:r w:rsidRPr="0001323B">
        <w:rPr>
          <w:rFonts w:ascii="Arial" w:hAnsi="Arial" w:cs="Arial"/>
          <w:b/>
          <w:bCs/>
          <w:color w:val="000000" w:themeColor="text1"/>
          <w:sz w:val="22"/>
          <w:szCs w:val="22"/>
        </w:rPr>
        <w:t>th)</w:t>
      </w:r>
    </w:p>
    <w:p w14:paraId="6014EA16" w14:textId="3B2EC8E7" w:rsidR="00D510E5" w:rsidRDefault="00D510E5" w:rsidP="00D510E5">
      <w:pPr>
        <w:rPr>
          <w:color w:val="000000" w:themeColor="text1"/>
          <w:sz w:val="22"/>
          <w:szCs w:val="22"/>
        </w:rPr>
      </w:pPr>
      <w:r w:rsidRPr="0001323B">
        <w:rPr>
          <w:color w:val="000000" w:themeColor="text1"/>
          <w:sz w:val="22"/>
          <w:szCs w:val="22"/>
        </w:rPr>
        <w:t xml:space="preserve">Georgia’s sharpest setback is in the health domain, where the state fell </w:t>
      </w:r>
      <w:r w:rsidR="00BD21CF">
        <w:rPr>
          <w:color w:val="000000" w:themeColor="text1"/>
          <w:sz w:val="22"/>
          <w:szCs w:val="22"/>
        </w:rPr>
        <w:t>six</w:t>
      </w:r>
      <w:r w:rsidRPr="0001323B">
        <w:rPr>
          <w:color w:val="000000" w:themeColor="text1"/>
          <w:sz w:val="22"/>
          <w:szCs w:val="22"/>
        </w:rPr>
        <w:t xml:space="preserve"> places to 45th—our state’s lowest health ranking in recent years. The drivers are consistent and alarming: a persistently high low-birthweight rate, an accelerating child and teen death rate, and a growing population of uninsured children.</w:t>
      </w:r>
    </w:p>
    <w:p w14:paraId="524B09E9" w14:textId="77777777" w:rsidR="002A0D74" w:rsidRDefault="002A0D74" w:rsidP="00D510E5">
      <w:pPr>
        <w:rPr>
          <w:color w:val="000000" w:themeColor="text1"/>
          <w:sz w:val="22"/>
          <w:szCs w:val="22"/>
        </w:rPr>
      </w:pPr>
    </w:p>
    <w:p w14:paraId="4CB3451F" w14:textId="146FA3A9" w:rsidR="002A0D74" w:rsidRPr="0001323B" w:rsidRDefault="002A0D74" w:rsidP="00D510E5">
      <w:pPr>
        <w:rPr>
          <w:color w:val="000000" w:themeColor="text1"/>
          <w:sz w:val="22"/>
          <w:szCs w:val="22"/>
        </w:rPr>
      </w:pPr>
      <w:r w:rsidRPr="00BA0C04">
        <w:rPr>
          <w:color w:val="000000"/>
          <w:sz w:val="22"/>
          <w:szCs w:val="22"/>
        </w:rPr>
        <w:t xml:space="preserve">“Unfortunately, I’m not surprised by these setbacks,” said </w:t>
      </w:r>
      <w:r w:rsidRPr="00BA0C04">
        <w:rPr>
          <w:color w:val="000000" w:themeColor="text1"/>
          <w:sz w:val="22"/>
          <w:szCs w:val="22"/>
        </w:rPr>
        <w:t xml:space="preserve">April Hartman, MD, FAAP, </w:t>
      </w:r>
      <w:r w:rsidRPr="00BA0C04">
        <w:rPr>
          <w:sz w:val="22"/>
          <w:szCs w:val="22"/>
        </w:rPr>
        <w:t xml:space="preserve">division chief of General Pediatric and Adolescent Medicine and vice chair for Advocacy at the Medical College of Georgia, </w:t>
      </w:r>
      <w:r w:rsidRPr="00BA0C04">
        <w:rPr>
          <w:color w:val="000000" w:themeColor="text1"/>
          <w:sz w:val="22"/>
          <w:szCs w:val="22"/>
        </w:rPr>
        <w:t xml:space="preserve">Augusta University. </w:t>
      </w:r>
      <w:r w:rsidRPr="00BA0C04">
        <w:rPr>
          <w:sz w:val="22"/>
          <w:szCs w:val="22"/>
        </w:rPr>
        <w:t>“Georgia’s decline in child health outcomes reflects challenges too many vulnerable families experience every day. Children’s health is shaped by more than what happens in a doctor’s office. When families struggle with access to care, housing, food, transportation, or mental health support, those challenges affect child well-being. Improving outcomes will require investments that address the whole child and the whole family.”</w:t>
      </w:r>
    </w:p>
    <w:p w14:paraId="1D6541E9" w14:textId="77777777" w:rsidR="00D510E5" w:rsidRPr="0001323B" w:rsidRDefault="00D510E5" w:rsidP="00D510E5">
      <w:pPr>
        <w:rPr>
          <w:color w:val="000000" w:themeColor="text1"/>
          <w:sz w:val="22"/>
          <w:szCs w:val="22"/>
        </w:rPr>
      </w:pPr>
    </w:p>
    <w:p w14:paraId="509E4682" w14:textId="77777777" w:rsidR="00D510E5" w:rsidRPr="0001323B" w:rsidRDefault="00D510E5" w:rsidP="00D510E5">
      <w:pPr>
        <w:rPr>
          <w:color w:val="000000" w:themeColor="text1"/>
          <w:sz w:val="22"/>
          <w:szCs w:val="22"/>
        </w:rPr>
      </w:pPr>
      <w:r w:rsidRPr="0001323B">
        <w:rPr>
          <w:color w:val="000000" w:themeColor="text1"/>
          <w:sz w:val="22"/>
          <w:szCs w:val="22"/>
        </w:rPr>
        <w:t>One disturbing trend in Georgia’s health data is the rising child and teen death rate. Georgia recorded 151 more deaths of children ages 1 to 19 in 2024 than in 2019—a 17% increase. The national child and teen death rate also increased, but at a slower pace of 8%. Georgia’s death rate is rising at more than twice the national rate of increase.</w:t>
      </w:r>
    </w:p>
    <w:p w14:paraId="6303D246" w14:textId="77777777" w:rsidR="00D510E5" w:rsidRPr="0001323B" w:rsidRDefault="00D510E5" w:rsidP="00D510E5">
      <w:pPr>
        <w:rPr>
          <w:color w:val="000000" w:themeColor="text1"/>
          <w:sz w:val="22"/>
          <w:szCs w:val="22"/>
        </w:rPr>
      </w:pPr>
    </w:p>
    <w:p w14:paraId="24A6BA99" w14:textId="77777777" w:rsidR="00D510E5" w:rsidRPr="0001323B" w:rsidRDefault="00D510E5" w:rsidP="00D510E5">
      <w:pPr>
        <w:rPr>
          <w:color w:val="000000" w:themeColor="text1"/>
          <w:sz w:val="22"/>
          <w:szCs w:val="22"/>
        </w:rPr>
      </w:pPr>
      <w:r w:rsidRPr="0001323B">
        <w:rPr>
          <w:color w:val="000000" w:themeColor="text1"/>
          <w:sz w:val="22"/>
          <w:szCs w:val="22"/>
        </w:rPr>
        <w:t>After a brief dip in 2023, Georgia’s low-birthweight rate climbed back to 10.3% in 2024—a 3% increase in the number of low-birthweight babies from 2019. Georgia continues to rank among the worst states nationally on this indicator and remains well above the national average of 8.6%. Low birthweight is the strongest predictor of infant mortality and a leading indicator of women’s overall health.</w:t>
      </w:r>
    </w:p>
    <w:p w14:paraId="2B513A07" w14:textId="77777777" w:rsidR="00D510E5" w:rsidRPr="0001323B" w:rsidRDefault="00D510E5" w:rsidP="00D510E5">
      <w:pPr>
        <w:rPr>
          <w:color w:val="000000" w:themeColor="text1"/>
          <w:sz w:val="22"/>
          <w:szCs w:val="22"/>
        </w:rPr>
      </w:pPr>
    </w:p>
    <w:p w14:paraId="662BEC17" w14:textId="77777777" w:rsidR="00D510E5" w:rsidRPr="0001323B" w:rsidRDefault="00D510E5" w:rsidP="00D510E5">
      <w:pPr>
        <w:rPr>
          <w:color w:val="000000" w:themeColor="text1"/>
          <w:sz w:val="22"/>
          <w:szCs w:val="22"/>
        </w:rPr>
      </w:pPr>
      <w:r w:rsidRPr="0001323B">
        <w:rPr>
          <w:color w:val="000000" w:themeColor="text1"/>
          <w:sz w:val="22"/>
          <w:szCs w:val="22"/>
        </w:rPr>
        <w:t>The number of children in Georgia without health insurance increased by 43,000 in 2024 compared to the previous year—reversing years of progress. Since 2019, Georgia has seen a 14% increase in its uninsured child population.</w:t>
      </w:r>
    </w:p>
    <w:p w14:paraId="3E0D2E7C" w14:textId="77777777" w:rsidR="00D510E5" w:rsidRPr="0001323B" w:rsidRDefault="00D510E5" w:rsidP="00D510E5">
      <w:pPr>
        <w:rPr>
          <w:color w:val="000000" w:themeColor="text1"/>
          <w:sz w:val="22"/>
          <w:szCs w:val="22"/>
        </w:rPr>
      </w:pPr>
    </w:p>
    <w:p w14:paraId="2999D55D" w14:textId="77488A53" w:rsidR="0001323B" w:rsidRDefault="00D510E5" w:rsidP="00D510E5">
      <w:pPr>
        <w:rPr>
          <w:color w:val="000000" w:themeColor="text1"/>
          <w:sz w:val="22"/>
          <w:szCs w:val="22"/>
        </w:rPr>
      </w:pPr>
      <w:r w:rsidRPr="0001323B">
        <w:rPr>
          <w:color w:val="000000" w:themeColor="text1"/>
          <w:sz w:val="22"/>
          <w:szCs w:val="22"/>
        </w:rPr>
        <w:t>Georgia’s rate of teens ages 10 to 17 who are overweight or obese edged up slightly to 31% in 2023 – 2024 from 30% in 2022 – 2023. This indicator is tracked through the National Survey of Children’s Health and reflects longer-term trends in physical health and nutrition for Georgia’s young people.</w:t>
      </w:r>
    </w:p>
    <w:p w14:paraId="61CB3274" w14:textId="77777777" w:rsidR="002A0D74" w:rsidRDefault="002A0D74" w:rsidP="00D510E5">
      <w:pPr>
        <w:rPr>
          <w:color w:val="000000" w:themeColor="text1"/>
          <w:sz w:val="22"/>
          <w:szCs w:val="22"/>
        </w:rPr>
      </w:pPr>
    </w:p>
    <w:p w14:paraId="102CD447" w14:textId="1F45EEC9" w:rsidR="002A0D74" w:rsidRPr="002A0D74" w:rsidRDefault="002A0D74" w:rsidP="002A0D74">
      <w:pPr>
        <w:pStyle w:val="NormalWeb"/>
        <w:spacing w:before="0" w:beforeAutospacing="0" w:after="0" w:afterAutospacing="0"/>
        <w:rPr>
          <w:sz w:val="22"/>
          <w:szCs w:val="22"/>
        </w:rPr>
      </w:pPr>
      <w:r w:rsidRPr="00BA0C04">
        <w:rPr>
          <w:sz w:val="22"/>
          <w:szCs w:val="22"/>
        </w:rPr>
        <w:t>“We often talk about innovation, but we need solutions that produce measurable results for children and families,” said Hartman. “Lasting progress will come from working together—bringing communities, providers, educators, and policymakers to the same table to listen to communities, address barriers to care, and invest in approaches that reflect the realities families face every day.”</w:t>
      </w:r>
    </w:p>
    <w:p w14:paraId="6358706D" w14:textId="77777777" w:rsidR="0001323B" w:rsidRPr="0001323B" w:rsidRDefault="0001323B" w:rsidP="00D510E5">
      <w:pPr>
        <w:rPr>
          <w:color w:val="000000" w:themeColor="text1"/>
          <w:sz w:val="22"/>
          <w:szCs w:val="22"/>
        </w:rPr>
      </w:pPr>
    </w:p>
    <w:p w14:paraId="695F8C30" w14:textId="400ACBEF" w:rsidR="00D510E5" w:rsidRPr="0001323B" w:rsidRDefault="00D510E5" w:rsidP="00D510E5">
      <w:pPr>
        <w:rPr>
          <w:rFonts w:ascii="Arial" w:hAnsi="Arial" w:cs="Arial"/>
          <w:b/>
          <w:bCs/>
          <w:color w:val="000000" w:themeColor="text1"/>
          <w:sz w:val="22"/>
          <w:szCs w:val="22"/>
        </w:rPr>
      </w:pPr>
      <w:r w:rsidRPr="00BD7FD7">
        <w:rPr>
          <w:rFonts w:ascii="Arial" w:hAnsi="Arial" w:cs="Arial"/>
          <w:b/>
          <w:bCs/>
          <w:color w:val="000000" w:themeColor="text1"/>
          <w:sz w:val="22"/>
          <w:szCs w:val="22"/>
        </w:rPr>
        <w:t>Georgia Ranks</w:t>
      </w:r>
      <w:r w:rsidRPr="0001323B">
        <w:rPr>
          <w:b/>
          <w:bCs/>
          <w:color w:val="000000" w:themeColor="text1"/>
          <w:sz w:val="22"/>
          <w:szCs w:val="22"/>
        </w:rPr>
        <w:t xml:space="preserve"> </w:t>
      </w:r>
      <w:r w:rsidRPr="0001323B">
        <w:rPr>
          <w:rFonts w:ascii="Arial" w:hAnsi="Arial" w:cs="Arial"/>
          <w:b/>
          <w:bCs/>
          <w:color w:val="000000" w:themeColor="text1"/>
          <w:sz w:val="22"/>
          <w:szCs w:val="22"/>
        </w:rPr>
        <w:t>34th</w:t>
      </w:r>
      <w:r w:rsidRPr="0001323B">
        <w:rPr>
          <w:b/>
          <w:bCs/>
          <w:color w:val="000000" w:themeColor="text1"/>
          <w:sz w:val="22"/>
          <w:szCs w:val="22"/>
        </w:rPr>
        <w:t xml:space="preserve"> in </w:t>
      </w:r>
      <w:r w:rsidRPr="0001323B">
        <w:rPr>
          <w:rFonts w:ascii="Arial" w:hAnsi="Arial" w:cs="Arial"/>
          <w:b/>
          <w:bCs/>
          <w:color w:val="000000" w:themeColor="text1"/>
          <w:sz w:val="22"/>
          <w:szCs w:val="22"/>
        </w:rPr>
        <w:t>Economic Well-Being  (up from 3</w:t>
      </w:r>
      <w:r w:rsidR="00BD21CF">
        <w:rPr>
          <w:rFonts w:ascii="Arial" w:hAnsi="Arial" w:cs="Arial"/>
          <w:b/>
          <w:bCs/>
          <w:color w:val="000000" w:themeColor="text1"/>
          <w:sz w:val="22"/>
          <w:szCs w:val="22"/>
        </w:rPr>
        <w:t>6</w:t>
      </w:r>
      <w:r w:rsidRPr="0001323B">
        <w:rPr>
          <w:rFonts w:ascii="Arial" w:hAnsi="Arial" w:cs="Arial"/>
          <w:b/>
          <w:bCs/>
          <w:color w:val="000000" w:themeColor="text1"/>
          <w:sz w:val="22"/>
          <w:szCs w:val="22"/>
        </w:rPr>
        <w:t>th)</w:t>
      </w:r>
    </w:p>
    <w:p w14:paraId="11920314" w14:textId="53E6BBB8" w:rsidR="00D510E5" w:rsidRPr="0001323B" w:rsidRDefault="00D510E5" w:rsidP="00D510E5">
      <w:pPr>
        <w:rPr>
          <w:color w:val="000000" w:themeColor="text1"/>
          <w:sz w:val="22"/>
          <w:szCs w:val="22"/>
        </w:rPr>
      </w:pPr>
      <w:r w:rsidRPr="0001323B">
        <w:rPr>
          <w:color w:val="000000" w:themeColor="text1"/>
          <w:sz w:val="22"/>
          <w:szCs w:val="22"/>
        </w:rPr>
        <w:t>Georgia saw its strongest improvement in the economic well-being domain, improving t</w:t>
      </w:r>
      <w:r w:rsidR="00BD21CF">
        <w:rPr>
          <w:color w:val="000000" w:themeColor="text1"/>
          <w:sz w:val="22"/>
          <w:szCs w:val="22"/>
        </w:rPr>
        <w:t>wo</w:t>
      </w:r>
      <w:r w:rsidRPr="0001323B">
        <w:rPr>
          <w:color w:val="000000" w:themeColor="text1"/>
          <w:sz w:val="22"/>
          <w:szCs w:val="22"/>
        </w:rPr>
        <w:t xml:space="preserve"> spots from 3</w:t>
      </w:r>
      <w:r w:rsidR="00BD21CF">
        <w:rPr>
          <w:color w:val="000000" w:themeColor="text1"/>
          <w:sz w:val="22"/>
          <w:szCs w:val="22"/>
        </w:rPr>
        <w:t>6</w:t>
      </w:r>
      <w:r w:rsidRPr="0001323B">
        <w:rPr>
          <w:color w:val="000000" w:themeColor="text1"/>
          <w:sz w:val="22"/>
          <w:szCs w:val="22"/>
        </w:rPr>
        <w:t>th to 34th—driven primarily by a significant reduction in child poverty.</w:t>
      </w:r>
    </w:p>
    <w:p w14:paraId="298CD07D" w14:textId="77777777" w:rsidR="00D510E5" w:rsidRPr="0001323B" w:rsidRDefault="00D510E5" w:rsidP="00D510E5">
      <w:pPr>
        <w:rPr>
          <w:color w:val="000000" w:themeColor="text1"/>
          <w:sz w:val="22"/>
          <w:szCs w:val="22"/>
        </w:rPr>
      </w:pPr>
    </w:p>
    <w:p w14:paraId="1A27040F" w14:textId="77777777" w:rsidR="00D510E5" w:rsidRPr="0001323B" w:rsidRDefault="00D510E5" w:rsidP="00D510E5">
      <w:pPr>
        <w:rPr>
          <w:color w:val="000000" w:themeColor="text1"/>
          <w:sz w:val="22"/>
          <w:szCs w:val="22"/>
        </w:rPr>
      </w:pPr>
      <w:r w:rsidRPr="0001323B">
        <w:rPr>
          <w:color w:val="000000" w:themeColor="text1"/>
          <w:sz w:val="22"/>
          <w:szCs w:val="22"/>
        </w:rPr>
        <w:t>The percentage of children living in poverty in Georgia fell to 16% in 2024, down from 19% in 2019—a decline that represents 56,000 fewer children living in poverty over five years. This brings Georgia in line with the national average of 15% and marks one of the most meaningful improvements the state has recorded on any indicator.</w:t>
      </w:r>
    </w:p>
    <w:p w14:paraId="65D37336" w14:textId="77777777" w:rsidR="00D510E5" w:rsidRPr="0001323B" w:rsidRDefault="00D510E5" w:rsidP="00D510E5">
      <w:pPr>
        <w:rPr>
          <w:color w:val="000000" w:themeColor="text1"/>
          <w:sz w:val="22"/>
          <w:szCs w:val="22"/>
        </w:rPr>
      </w:pPr>
    </w:p>
    <w:p w14:paraId="7BF7CE8F" w14:textId="77777777" w:rsidR="00D510E5" w:rsidRPr="0001323B" w:rsidRDefault="00D510E5" w:rsidP="00D510E5">
      <w:pPr>
        <w:rPr>
          <w:color w:val="000000" w:themeColor="text1"/>
          <w:sz w:val="22"/>
          <w:szCs w:val="22"/>
        </w:rPr>
      </w:pPr>
      <w:r w:rsidRPr="0001323B">
        <w:rPr>
          <w:color w:val="000000" w:themeColor="text1"/>
          <w:sz w:val="22"/>
          <w:szCs w:val="22"/>
        </w:rPr>
        <w:t>Georgia also held ground on parental employment: the share of children in families where no parent has full-time, year-round employment remained at 25% in 2024, a slight improvement from 2023, 2022, and the 2019 baseline of 26%. Georgia continues to track closely with the national rate.</w:t>
      </w:r>
    </w:p>
    <w:p w14:paraId="6CBC2C06" w14:textId="77777777" w:rsidR="00D510E5" w:rsidRPr="0001323B" w:rsidRDefault="00D510E5" w:rsidP="00D510E5">
      <w:pPr>
        <w:rPr>
          <w:color w:val="000000" w:themeColor="text1"/>
          <w:sz w:val="22"/>
          <w:szCs w:val="22"/>
        </w:rPr>
      </w:pPr>
    </w:p>
    <w:p w14:paraId="09F1C790" w14:textId="77777777" w:rsidR="00D510E5" w:rsidRPr="0001323B" w:rsidRDefault="00D510E5" w:rsidP="00D510E5">
      <w:pPr>
        <w:rPr>
          <w:color w:val="000000" w:themeColor="text1"/>
          <w:sz w:val="22"/>
          <w:szCs w:val="22"/>
        </w:rPr>
      </w:pPr>
      <w:r w:rsidRPr="0001323B">
        <w:rPr>
          <w:color w:val="000000" w:themeColor="text1"/>
          <w:sz w:val="22"/>
          <w:szCs w:val="22"/>
        </w:rPr>
        <w:lastRenderedPageBreak/>
        <w:t xml:space="preserve">The number of Georgia teens ages 16 to 19 not in school and not working was 45,000 in 2024, a 13% improvement from 48,000 in 2019. This runs counter to the national trend, where this population increased by 17%—representing 53,000 additional youth disconnected </w:t>
      </w:r>
      <w:r w:rsidRPr="0001323B">
        <w:rPr>
          <w:rFonts w:eastAsia="Frutiger LT Std 55 Roman"/>
          <w:color w:val="000000" w:themeColor="text1"/>
          <w:sz w:val="22"/>
          <w:szCs w:val="22"/>
        </w:rPr>
        <w:t>from school and the workforce</w:t>
      </w:r>
      <w:r w:rsidRPr="0001323B">
        <w:rPr>
          <w:color w:val="000000" w:themeColor="text1"/>
          <w:sz w:val="22"/>
          <w:szCs w:val="22"/>
        </w:rPr>
        <w:t xml:space="preserve"> nationwide in the same time span.</w:t>
      </w:r>
    </w:p>
    <w:p w14:paraId="1B8189A6" w14:textId="77777777" w:rsidR="00D510E5" w:rsidRPr="0001323B" w:rsidRDefault="00D510E5" w:rsidP="00D510E5">
      <w:pPr>
        <w:rPr>
          <w:color w:val="000000" w:themeColor="text1"/>
          <w:sz w:val="22"/>
          <w:szCs w:val="22"/>
        </w:rPr>
      </w:pPr>
    </w:p>
    <w:p w14:paraId="538A70D5" w14:textId="77777777" w:rsidR="00D510E5" w:rsidRPr="0001323B" w:rsidRDefault="00D510E5" w:rsidP="00D510E5">
      <w:pPr>
        <w:rPr>
          <w:color w:val="000000" w:themeColor="text1"/>
          <w:sz w:val="22"/>
          <w:szCs w:val="22"/>
        </w:rPr>
      </w:pPr>
      <w:r w:rsidRPr="0001323B">
        <w:rPr>
          <w:color w:val="000000" w:themeColor="text1"/>
          <w:sz w:val="22"/>
          <w:szCs w:val="22"/>
        </w:rPr>
        <w:t>Housing costs remain a persistent challenge. The number of children in households spending more than 30% of income on housing increased by 74,000 children between 2019 and 2024, reaching 785,000 children—an 11% increase over five years.</w:t>
      </w:r>
    </w:p>
    <w:p w14:paraId="63D1B59F" w14:textId="77777777" w:rsidR="0001323B" w:rsidRPr="0001323B" w:rsidRDefault="0001323B" w:rsidP="00D510E5">
      <w:pPr>
        <w:rPr>
          <w:color w:val="000000" w:themeColor="text1"/>
          <w:sz w:val="22"/>
          <w:szCs w:val="22"/>
        </w:rPr>
      </w:pPr>
    </w:p>
    <w:p w14:paraId="27787FC1" w14:textId="48309238" w:rsidR="0001323B" w:rsidRPr="0001323B" w:rsidRDefault="0001323B" w:rsidP="0001323B">
      <w:pPr>
        <w:rPr>
          <w:color w:val="000000" w:themeColor="text1"/>
          <w:sz w:val="22"/>
          <w:szCs w:val="22"/>
        </w:rPr>
      </w:pPr>
      <w:r w:rsidRPr="0001323B">
        <w:rPr>
          <w:color w:val="000000"/>
          <w:sz w:val="22"/>
          <w:szCs w:val="22"/>
        </w:rPr>
        <w:t xml:space="preserve">“Year after year, Georgia businesses </w:t>
      </w:r>
      <w:r w:rsidR="006F578B">
        <w:rPr>
          <w:color w:val="000000"/>
          <w:sz w:val="22"/>
          <w:szCs w:val="22"/>
        </w:rPr>
        <w:t>share</w:t>
      </w:r>
      <w:r w:rsidRPr="0001323B">
        <w:rPr>
          <w:color w:val="000000"/>
          <w:sz w:val="22"/>
          <w:szCs w:val="22"/>
        </w:rPr>
        <w:t xml:space="preserve"> </w:t>
      </w:r>
      <w:r w:rsidR="00BD7FD7">
        <w:rPr>
          <w:color w:val="000000"/>
          <w:sz w:val="22"/>
          <w:szCs w:val="22"/>
        </w:rPr>
        <w:t xml:space="preserve">that </w:t>
      </w:r>
      <w:r w:rsidRPr="0001323B">
        <w:rPr>
          <w:color w:val="000000"/>
          <w:sz w:val="22"/>
          <w:szCs w:val="22"/>
        </w:rPr>
        <w:t>one of their top workforce concerns is housing access and affordability for their employees</w:t>
      </w:r>
      <w:r w:rsidR="00BD7FD7">
        <w:rPr>
          <w:color w:val="000000"/>
          <w:sz w:val="22"/>
          <w:szCs w:val="22"/>
        </w:rPr>
        <w:t>,” said</w:t>
      </w:r>
      <w:r w:rsidR="00BD7FD7" w:rsidRPr="0001323B">
        <w:rPr>
          <w:color w:val="000000"/>
          <w:sz w:val="22"/>
          <w:szCs w:val="22"/>
        </w:rPr>
        <w:t xml:space="preserve"> Georgia Chamber Foundation</w:t>
      </w:r>
      <w:r w:rsidR="00BD7FD7">
        <w:rPr>
          <w:color w:val="000000"/>
          <w:sz w:val="22"/>
          <w:szCs w:val="22"/>
        </w:rPr>
        <w:t xml:space="preserve"> </w:t>
      </w:r>
      <w:r w:rsidR="00BD7FD7" w:rsidRPr="0001323B">
        <w:rPr>
          <w:color w:val="000000"/>
          <w:sz w:val="22"/>
          <w:szCs w:val="22"/>
        </w:rPr>
        <w:t>Executive Director Daniela Perry</w:t>
      </w:r>
      <w:r w:rsidRPr="0001323B">
        <w:rPr>
          <w:color w:val="000000"/>
          <w:sz w:val="22"/>
          <w:szCs w:val="22"/>
        </w:rPr>
        <w:t xml:space="preserve">. </w:t>
      </w:r>
      <w:r w:rsidR="00BD7FD7">
        <w:rPr>
          <w:color w:val="000000"/>
          <w:sz w:val="22"/>
          <w:szCs w:val="22"/>
        </w:rPr>
        <w:t>“</w:t>
      </w:r>
      <w:r w:rsidRPr="0001323B">
        <w:rPr>
          <w:color w:val="000000"/>
          <w:sz w:val="22"/>
          <w:szCs w:val="22"/>
        </w:rPr>
        <w:t xml:space="preserve">Homeownership is </w:t>
      </w:r>
      <w:r w:rsidR="00BD7FD7">
        <w:rPr>
          <w:color w:val="000000"/>
          <w:sz w:val="22"/>
          <w:szCs w:val="22"/>
        </w:rPr>
        <w:t xml:space="preserve">a </w:t>
      </w:r>
      <w:r w:rsidRPr="0001323B">
        <w:rPr>
          <w:color w:val="000000"/>
          <w:sz w:val="22"/>
          <w:szCs w:val="22"/>
        </w:rPr>
        <w:t xml:space="preserve">proven wealth generation tool that is not possible for too many families at present. The </w:t>
      </w:r>
      <w:r w:rsidR="00BD7FD7" w:rsidRPr="00BD7FD7">
        <w:rPr>
          <w:sz w:val="22"/>
          <w:szCs w:val="22"/>
        </w:rPr>
        <w:t>KIDS COUNT®</w:t>
      </w:r>
      <w:r w:rsidR="00BD7FD7" w:rsidRPr="0001323B">
        <w:rPr>
          <w:i/>
          <w:iCs/>
          <w:sz w:val="22"/>
          <w:szCs w:val="22"/>
        </w:rPr>
        <w:t xml:space="preserve"> </w:t>
      </w:r>
      <w:r w:rsidRPr="0001323B">
        <w:rPr>
          <w:color w:val="000000"/>
          <w:sz w:val="22"/>
          <w:szCs w:val="22"/>
        </w:rPr>
        <w:t>data provide direction for strategic investments to promote long</w:t>
      </w:r>
      <w:r w:rsidR="00BD7FD7">
        <w:rPr>
          <w:color w:val="000000"/>
          <w:sz w:val="22"/>
          <w:szCs w:val="22"/>
        </w:rPr>
        <w:t>-</w:t>
      </w:r>
      <w:r w:rsidRPr="0001323B">
        <w:rPr>
          <w:color w:val="000000"/>
          <w:sz w:val="22"/>
          <w:szCs w:val="22"/>
        </w:rPr>
        <w:t>term economic prosperity for Georgia families.</w:t>
      </w:r>
      <w:r w:rsidR="00BD7FD7">
        <w:rPr>
          <w:color w:val="000000"/>
          <w:sz w:val="22"/>
          <w:szCs w:val="22"/>
        </w:rPr>
        <w:t>”</w:t>
      </w:r>
    </w:p>
    <w:p w14:paraId="266FBB7D" w14:textId="77777777" w:rsidR="0001323B" w:rsidRPr="0001323B" w:rsidRDefault="0001323B" w:rsidP="00D510E5">
      <w:pPr>
        <w:rPr>
          <w:color w:val="000000" w:themeColor="text1"/>
          <w:sz w:val="22"/>
          <w:szCs w:val="22"/>
        </w:rPr>
      </w:pPr>
    </w:p>
    <w:p w14:paraId="011778D2" w14:textId="77777777" w:rsidR="00D510E5" w:rsidRPr="0001323B" w:rsidRDefault="00D510E5" w:rsidP="00D510E5">
      <w:pPr>
        <w:rPr>
          <w:color w:val="000000" w:themeColor="text1"/>
          <w:sz w:val="22"/>
          <w:szCs w:val="22"/>
        </w:rPr>
      </w:pPr>
    </w:p>
    <w:p w14:paraId="7C82B0CE" w14:textId="77777777" w:rsidR="00D510E5" w:rsidRPr="0001323B" w:rsidRDefault="00D510E5" w:rsidP="00D510E5">
      <w:pPr>
        <w:rPr>
          <w:rFonts w:ascii="Arial" w:hAnsi="Arial" w:cs="Arial"/>
          <w:b/>
          <w:bCs/>
          <w:color w:val="000000" w:themeColor="text1"/>
          <w:sz w:val="22"/>
          <w:szCs w:val="22"/>
        </w:rPr>
      </w:pPr>
      <w:r w:rsidRPr="0001323B">
        <w:rPr>
          <w:rFonts w:ascii="Arial" w:hAnsi="Arial" w:cs="Arial"/>
          <w:b/>
          <w:bCs/>
          <w:color w:val="000000" w:themeColor="text1"/>
          <w:sz w:val="22"/>
          <w:szCs w:val="22"/>
        </w:rPr>
        <w:t>Georgia Ranks 32nd</w:t>
      </w:r>
      <w:r w:rsidRPr="0001323B">
        <w:rPr>
          <w:b/>
          <w:bCs/>
          <w:color w:val="000000" w:themeColor="text1"/>
          <w:sz w:val="22"/>
          <w:szCs w:val="22"/>
        </w:rPr>
        <w:t xml:space="preserve"> in </w:t>
      </w:r>
      <w:r w:rsidRPr="0001323B">
        <w:rPr>
          <w:rFonts w:ascii="Arial" w:hAnsi="Arial" w:cs="Arial"/>
          <w:b/>
          <w:bCs/>
          <w:color w:val="000000" w:themeColor="text1"/>
          <w:sz w:val="22"/>
          <w:szCs w:val="22"/>
        </w:rPr>
        <w:t>Education (unchanged)</w:t>
      </w:r>
    </w:p>
    <w:p w14:paraId="3CC5C899" w14:textId="77777777" w:rsidR="00D510E5" w:rsidRPr="0001323B" w:rsidRDefault="00D510E5" w:rsidP="00D510E5">
      <w:pPr>
        <w:rPr>
          <w:color w:val="000000" w:themeColor="text1"/>
          <w:sz w:val="22"/>
          <w:szCs w:val="22"/>
        </w:rPr>
      </w:pPr>
      <w:r w:rsidRPr="0001323B">
        <w:rPr>
          <w:color w:val="000000" w:themeColor="text1"/>
          <w:sz w:val="22"/>
          <w:szCs w:val="22"/>
        </w:rPr>
        <w:t>Georgia’s education ranking remained steady, holding at 32nd. However, that stability masks continued and, in some cases, worsening performance on underlying indicators. Georgia’s plateau in education reflects a broader national trend of post-pandemic learning loss.</w:t>
      </w:r>
    </w:p>
    <w:p w14:paraId="0AAD5AE5" w14:textId="77777777" w:rsidR="00D510E5" w:rsidRPr="0001323B" w:rsidRDefault="00D510E5" w:rsidP="00D510E5">
      <w:pPr>
        <w:rPr>
          <w:color w:val="000000" w:themeColor="text1"/>
          <w:sz w:val="22"/>
          <w:szCs w:val="22"/>
        </w:rPr>
      </w:pPr>
    </w:p>
    <w:p w14:paraId="3784B758" w14:textId="77777777" w:rsidR="00D510E5" w:rsidRPr="0001323B" w:rsidRDefault="00D510E5" w:rsidP="00D510E5">
      <w:pPr>
        <w:rPr>
          <w:color w:val="000000" w:themeColor="text1"/>
          <w:sz w:val="22"/>
          <w:szCs w:val="22"/>
        </w:rPr>
      </w:pPr>
      <w:r w:rsidRPr="0001323B">
        <w:rPr>
          <w:color w:val="000000" w:themeColor="text1"/>
          <w:sz w:val="22"/>
          <w:szCs w:val="22"/>
        </w:rPr>
        <w:t>The percentage of fourth graders scoring below proficient in reading was 70% in 2024, matching last year’s level and representing a 3% increase from the 2019 baseline of 68%. While Georgia’s rate aligns with the national average, it underscores the urgency of early literacy intervention. Research consistently links fourth-grade reading proficiency to high school graduation, future earning potential, and long-term health outcomes.</w:t>
      </w:r>
    </w:p>
    <w:p w14:paraId="797A6EA0" w14:textId="77777777" w:rsidR="00D510E5" w:rsidRPr="0001323B" w:rsidRDefault="00D510E5" w:rsidP="00D510E5">
      <w:pPr>
        <w:rPr>
          <w:color w:val="000000" w:themeColor="text1"/>
          <w:sz w:val="22"/>
          <w:szCs w:val="22"/>
        </w:rPr>
      </w:pPr>
    </w:p>
    <w:p w14:paraId="68F2F126" w14:textId="77777777" w:rsidR="00D510E5" w:rsidRPr="0001323B" w:rsidRDefault="00D510E5" w:rsidP="00D510E5">
      <w:pPr>
        <w:rPr>
          <w:color w:val="000000" w:themeColor="text1"/>
          <w:sz w:val="22"/>
          <w:szCs w:val="22"/>
        </w:rPr>
      </w:pPr>
      <w:r w:rsidRPr="0001323B">
        <w:rPr>
          <w:color w:val="000000" w:themeColor="text1"/>
          <w:sz w:val="22"/>
          <w:szCs w:val="22"/>
        </w:rPr>
        <w:t>Access to preschool showed a slight decline. The percentage of children ages 3 and 4 not attending preschool increased to 53% in the 2020–24 school year, up 50% from 2015 to 2019 and ranking Georgia 14th nationally.</w:t>
      </w:r>
    </w:p>
    <w:p w14:paraId="4B1A36C4" w14:textId="77777777" w:rsidR="00D510E5" w:rsidRPr="0001323B" w:rsidRDefault="00D510E5" w:rsidP="00D510E5">
      <w:pPr>
        <w:rPr>
          <w:color w:val="000000" w:themeColor="text1"/>
          <w:sz w:val="22"/>
          <w:szCs w:val="22"/>
        </w:rPr>
      </w:pPr>
    </w:p>
    <w:p w14:paraId="47B3CFA0" w14:textId="77777777" w:rsidR="00D510E5" w:rsidRPr="0001323B" w:rsidRDefault="00D510E5" w:rsidP="00D510E5">
      <w:pPr>
        <w:rPr>
          <w:color w:val="000000" w:themeColor="text1"/>
          <w:sz w:val="22"/>
          <w:szCs w:val="22"/>
        </w:rPr>
      </w:pPr>
      <w:r w:rsidRPr="0001323B">
        <w:rPr>
          <w:color w:val="000000" w:themeColor="text1"/>
          <w:sz w:val="22"/>
          <w:szCs w:val="22"/>
        </w:rPr>
        <w:t>Math proficiency continues to deteriorate. The percentage of Georgia’s eighth graders scoring below proficient in math reached 76% in 2024, compared to 73% nationally and up from 69% in 2019—a 10% increase over five years. This is among the most concerning trends in Georgia’s education data.</w:t>
      </w:r>
    </w:p>
    <w:p w14:paraId="5830FF78" w14:textId="77777777" w:rsidR="00D510E5" w:rsidRPr="0001323B" w:rsidRDefault="00D510E5" w:rsidP="00D510E5">
      <w:pPr>
        <w:rPr>
          <w:color w:val="000000" w:themeColor="text1"/>
          <w:sz w:val="22"/>
          <w:szCs w:val="22"/>
        </w:rPr>
      </w:pPr>
    </w:p>
    <w:p w14:paraId="6AC59055" w14:textId="77777777" w:rsidR="00D510E5" w:rsidRPr="0001323B" w:rsidRDefault="00D510E5" w:rsidP="00D510E5">
      <w:pPr>
        <w:rPr>
          <w:color w:val="000000" w:themeColor="text1"/>
          <w:sz w:val="22"/>
          <w:szCs w:val="22"/>
        </w:rPr>
      </w:pPr>
      <w:r w:rsidRPr="0001323B">
        <w:rPr>
          <w:sz w:val="22"/>
          <w:szCs w:val="22"/>
        </w:rPr>
        <w:t xml:space="preserve">Georgia made measurable progress in high school graduation rates. The percentage of students not graduating on time fell from 18% in the 2018–19 school year to 15% in 2023–24—a 17% improvement. The national rate declined from 14% to 13% over the same period. Georgia improved faster than the nation but </w:t>
      </w:r>
      <w:r w:rsidRPr="0001323B">
        <w:rPr>
          <w:color w:val="000000" w:themeColor="text1"/>
          <w:sz w:val="22"/>
          <w:szCs w:val="22"/>
        </w:rPr>
        <w:t>continues to lag the</w:t>
      </w:r>
      <w:r w:rsidRPr="0001323B">
        <w:rPr>
          <w:sz w:val="22"/>
          <w:szCs w:val="22"/>
        </w:rPr>
        <w:t xml:space="preserve"> national benchmark.</w:t>
      </w:r>
    </w:p>
    <w:p w14:paraId="383F02BE" w14:textId="77777777" w:rsidR="00D510E5" w:rsidRPr="0001323B" w:rsidRDefault="00D510E5" w:rsidP="00D510E5">
      <w:pPr>
        <w:rPr>
          <w:color w:val="000000" w:themeColor="text1"/>
          <w:sz w:val="22"/>
          <w:szCs w:val="22"/>
        </w:rPr>
      </w:pPr>
    </w:p>
    <w:p w14:paraId="64590239" w14:textId="06D7A092" w:rsidR="00D510E5" w:rsidRPr="0001323B" w:rsidRDefault="00D510E5" w:rsidP="00D510E5">
      <w:pPr>
        <w:rPr>
          <w:rFonts w:ascii="Arial" w:hAnsi="Arial" w:cs="Arial"/>
          <w:b/>
          <w:bCs/>
          <w:color w:val="000000" w:themeColor="text1"/>
          <w:sz w:val="22"/>
          <w:szCs w:val="22"/>
        </w:rPr>
      </w:pPr>
      <w:r w:rsidRPr="0001323B">
        <w:rPr>
          <w:rFonts w:ascii="Arial" w:hAnsi="Arial" w:cs="Arial"/>
          <w:b/>
          <w:bCs/>
          <w:color w:val="000000" w:themeColor="text1"/>
          <w:sz w:val="22"/>
          <w:szCs w:val="22"/>
        </w:rPr>
        <w:t>Georgia Ranks 40th in Family and Community (</w:t>
      </w:r>
      <w:r w:rsidR="00BD21CF">
        <w:rPr>
          <w:rFonts w:ascii="Arial" w:hAnsi="Arial" w:cs="Arial"/>
          <w:b/>
          <w:bCs/>
          <w:color w:val="000000" w:themeColor="text1"/>
          <w:sz w:val="22"/>
          <w:szCs w:val="22"/>
        </w:rPr>
        <w:t>unchanged</w:t>
      </w:r>
      <w:r w:rsidRPr="0001323B">
        <w:rPr>
          <w:rFonts w:ascii="Arial" w:hAnsi="Arial" w:cs="Arial"/>
          <w:b/>
          <w:bCs/>
          <w:color w:val="000000" w:themeColor="text1"/>
          <w:sz w:val="22"/>
          <w:szCs w:val="22"/>
        </w:rPr>
        <w:t>)</w:t>
      </w:r>
    </w:p>
    <w:p w14:paraId="05A23E9A" w14:textId="71143594" w:rsidR="004F53BD" w:rsidRPr="004F53BD" w:rsidRDefault="004F53BD" w:rsidP="004F53BD">
      <w:pPr>
        <w:rPr>
          <w:color w:val="000000" w:themeColor="text1"/>
          <w:sz w:val="22"/>
          <w:szCs w:val="22"/>
        </w:rPr>
      </w:pPr>
      <w:r w:rsidRPr="004F53BD">
        <w:rPr>
          <w:sz w:val="22"/>
          <w:szCs w:val="22"/>
        </w:rPr>
        <w:t xml:space="preserve">Georgia's ranking in the family and community domain remained unchanged at 40th, keeping the state in the bottom 20 nationally. The lack of movement reflects persistent challenges across several indicators, particularly the </w:t>
      </w:r>
      <w:r w:rsidR="006C1124">
        <w:rPr>
          <w:sz w:val="22"/>
          <w:szCs w:val="22"/>
        </w:rPr>
        <w:t>percentage</w:t>
      </w:r>
      <w:r w:rsidRPr="004F53BD">
        <w:rPr>
          <w:sz w:val="22"/>
          <w:szCs w:val="22"/>
        </w:rPr>
        <w:t xml:space="preserve"> of children living in high-poverty areas, which has remained largely unchanged over time.</w:t>
      </w:r>
    </w:p>
    <w:p w14:paraId="1D1312EC" w14:textId="77777777" w:rsidR="00D510E5" w:rsidRPr="004F53BD" w:rsidRDefault="00D510E5" w:rsidP="004F53BD">
      <w:pPr>
        <w:rPr>
          <w:color w:val="000000" w:themeColor="text1"/>
          <w:sz w:val="22"/>
          <w:szCs w:val="22"/>
        </w:rPr>
      </w:pPr>
    </w:p>
    <w:p w14:paraId="7FC9A71F" w14:textId="77777777" w:rsidR="00D510E5" w:rsidRPr="0001323B" w:rsidRDefault="00D510E5" w:rsidP="00D510E5">
      <w:pPr>
        <w:rPr>
          <w:color w:val="000000" w:themeColor="text1"/>
          <w:sz w:val="22"/>
          <w:szCs w:val="22"/>
        </w:rPr>
      </w:pPr>
      <w:r w:rsidRPr="0001323B">
        <w:rPr>
          <w:color w:val="000000" w:themeColor="text1"/>
          <w:sz w:val="22"/>
          <w:szCs w:val="22"/>
        </w:rPr>
        <w:t>The teen birth rate in Georgia fell to 16 births per 1,000 females ages 15 to 19 in 2024, down from 17 in 2023. Georgia has recorded a 20% reduction in teen births since 2019, representing approximately 990 fewer teen births in 2024 compared to 2019. This is a meaningful public health win, though Georgia’s rate still exceeds the national average.</w:t>
      </w:r>
    </w:p>
    <w:p w14:paraId="761D43B9" w14:textId="77777777" w:rsidR="00D510E5" w:rsidRPr="0001323B" w:rsidRDefault="00D510E5" w:rsidP="00D510E5">
      <w:pPr>
        <w:rPr>
          <w:color w:val="000000" w:themeColor="text1"/>
          <w:sz w:val="22"/>
          <w:szCs w:val="22"/>
        </w:rPr>
      </w:pPr>
    </w:p>
    <w:p w14:paraId="5BBC0CF6" w14:textId="77777777" w:rsidR="00D510E5" w:rsidRPr="0001323B" w:rsidRDefault="00D510E5" w:rsidP="00D510E5">
      <w:pPr>
        <w:rPr>
          <w:color w:val="000000" w:themeColor="text1"/>
          <w:sz w:val="22"/>
          <w:szCs w:val="22"/>
        </w:rPr>
      </w:pPr>
      <w:r w:rsidRPr="0001323B">
        <w:rPr>
          <w:color w:val="000000" w:themeColor="text1"/>
          <w:sz w:val="22"/>
          <w:szCs w:val="22"/>
        </w:rPr>
        <w:lastRenderedPageBreak/>
        <w:t>The percentage of children living in single-parent families in Georgia was 37% in 2024, continuing to outpace the national rate of 34%. This indicator has shown little change in recent years and remains a challenge for Georgia families.</w:t>
      </w:r>
    </w:p>
    <w:p w14:paraId="584A23D7" w14:textId="77777777" w:rsidR="00D510E5" w:rsidRPr="0001323B" w:rsidRDefault="00D510E5" w:rsidP="00D510E5">
      <w:pPr>
        <w:rPr>
          <w:color w:val="000000" w:themeColor="text1"/>
          <w:sz w:val="22"/>
          <w:szCs w:val="22"/>
        </w:rPr>
      </w:pPr>
    </w:p>
    <w:p w14:paraId="2F4DCD37" w14:textId="77777777" w:rsidR="00D510E5" w:rsidRPr="0001323B" w:rsidRDefault="00D510E5" w:rsidP="00D510E5">
      <w:pPr>
        <w:rPr>
          <w:color w:val="000000" w:themeColor="text1"/>
          <w:sz w:val="22"/>
          <w:szCs w:val="22"/>
        </w:rPr>
      </w:pPr>
      <w:r w:rsidRPr="0001323B">
        <w:rPr>
          <w:color w:val="000000" w:themeColor="text1"/>
          <w:sz w:val="22"/>
          <w:szCs w:val="22"/>
        </w:rPr>
        <w:t>The percentage of children in families where the household head lacks a high school diploma fell to 10% in 2024, representing 29,000 fewer children in that setting compared to the previous year. While short-term progress is occurring, the longer-term trend remains stubbornly slow with this figure improving by only 2% since 2019.</w:t>
      </w:r>
    </w:p>
    <w:p w14:paraId="56C69637" w14:textId="77777777" w:rsidR="00D510E5" w:rsidRPr="0001323B" w:rsidRDefault="00D510E5" w:rsidP="00D510E5">
      <w:pPr>
        <w:rPr>
          <w:color w:val="000000" w:themeColor="text1"/>
          <w:sz w:val="22"/>
          <w:szCs w:val="22"/>
        </w:rPr>
      </w:pPr>
    </w:p>
    <w:p w14:paraId="1B7D90A7" w14:textId="77777777" w:rsidR="00D510E5" w:rsidRPr="0001323B" w:rsidRDefault="00D510E5" w:rsidP="00D510E5">
      <w:pPr>
        <w:rPr>
          <w:color w:val="000000" w:themeColor="text1"/>
          <w:sz w:val="22"/>
          <w:szCs w:val="22"/>
        </w:rPr>
      </w:pPr>
      <w:r w:rsidRPr="0001323B">
        <w:rPr>
          <w:color w:val="000000" w:themeColor="text1"/>
          <w:sz w:val="22"/>
          <w:szCs w:val="22"/>
        </w:rPr>
        <w:t>The share of children living in high-poverty areas (census tracts with poverty rates of 30% or more) held steady at 9%, unchanged between the 2019 – 2023 and 2020 – 2024 estimates. Georgia has made no progress on concentrated poverty over five years—a challenge that disproportionately affects black and Latino children in urban and rural communities.</w:t>
      </w:r>
    </w:p>
    <w:p w14:paraId="3B2313E3" w14:textId="77777777" w:rsidR="00D510E5" w:rsidRPr="0001323B" w:rsidRDefault="00D510E5" w:rsidP="00D510E5">
      <w:pPr>
        <w:rPr>
          <w:color w:val="000000" w:themeColor="text1"/>
          <w:sz w:val="22"/>
          <w:szCs w:val="22"/>
        </w:rPr>
      </w:pPr>
    </w:p>
    <w:p w14:paraId="0CAC3281" w14:textId="0B44037C" w:rsidR="0001323B" w:rsidRPr="0064367F" w:rsidRDefault="00D510E5" w:rsidP="00D510E5">
      <w:pPr>
        <w:rPr>
          <w:color w:val="000000"/>
        </w:rPr>
      </w:pPr>
      <w:r w:rsidRPr="0001323B">
        <w:rPr>
          <w:color w:val="000000"/>
          <w:sz w:val="22"/>
          <w:szCs w:val="22"/>
        </w:rPr>
        <w:t xml:space="preserve">“Georgia is at a crossroads,” said </w:t>
      </w:r>
      <w:proofErr w:type="spellStart"/>
      <w:r w:rsidRPr="0001323B">
        <w:rPr>
          <w:color w:val="000000"/>
          <w:sz w:val="22"/>
          <w:szCs w:val="22"/>
        </w:rPr>
        <w:t>GaFCP</w:t>
      </w:r>
      <w:proofErr w:type="spellEnd"/>
      <w:r w:rsidRPr="0001323B">
        <w:rPr>
          <w:color w:val="000000"/>
          <w:sz w:val="22"/>
          <w:szCs w:val="22"/>
        </w:rPr>
        <w:t xml:space="preserve"> Executive Director Gaye Smith. “We have an opportunity to make significant gains—or risk falling further behind. The path we take depends on the choices we make today. We’ve seen that Georgians can reap benefits when public and private partners work together and make significant investments like those we’ve made in education. </w:t>
      </w:r>
      <w:r w:rsidRPr="0001323B">
        <w:rPr>
          <w:sz w:val="22"/>
          <w:szCs w:val="22"/>
        </w:rPr>
        <w:t xml:space="preserve">Now it’s time to expand that work to other areas of family and community well-being </w:t>
      </w:r>
      <w:r w:rsidRPr="0001323B">
        <w:rPr>
          <w:color w:val="000000"/>
          <w:sz w:val="22"/>
          <w:szCs w:val="22"/>
        </w:rPr>
        <w:t>so we can build a Georgia that will prosper for generations to come.</w:t>
      </w:r>
      <w:r w:rsidRPr="0001323B">
        <w:rPr>
          <w:sz w:val="22"/>
          <w:szCs w:val="22"/>
        </w:rPr>
        <w:t>”</w:t>
      </w:r>
    </w:p>
    <w:p w14:paraId="60E95B98" w14:textId="77777777" w:rsidR="0001323B" w:rsidRDefault="0001323B" w:rsidP="0001323B">
      <w:pPr>
        <w:shd w:val="clear" w:color="auto" w:fill="FFFFFF"/>
        <w:jc w:val="center"/>
        <w:rPr>
          <w:color w:val="333333"/>
          <w:sz w:val="22"/>
          <w:szCs w:val="22"/>
        </w:rPr>
      </w:pPr>
      <w:r>
        <w:rPr>
          <w:sz w:val="22"/>
          <w:szCs w:val="22"/>
        </w:rPr>
        <w:t>###</w:t>
      </w:r>
    </w:p>
    <w:p w14:paraId="736BD18C" w14:textId="77777777" w:rsidR="0001323B" w:rsidRDefault="0001323B" w:rsidP="0001323B">
      <w:pPr>
        <w:shd w:val="clear" w:color="auto" w:fill="FFFFFF"/>
        <w:rPr>
          <w:color w:val="333333"/>
          <w:sz w:val="22"/>
          <w:szCs w:val="22"/>
        </w:rPr>
      </w:pPr>
    </w:p>
    <w:p w14:paraId="0A52E751" w14:textId="77777777" w:rsidR="0001323B" w:rsidRPr="00A64564" w:rsidRDefault="0001323B" w:rsidP="0001323B">
      <w:pPr>
        <w:rPr>
          <w:rFonts w:ascii="Arial" w:hAnsi="Arial" w:cs="Arial"/>
          <w:b/>
          <w:sz w:val="20"/>
          <w:szCs w:val="20"/>
        </w:rPr>
      </w:pPr>
      <w:r w:rsidRPr="00A64564">
        <w:rPr>
          <w:rFonts w:ascii="Arial" w:hAnsi="Arial" w:cs="Arial"/>
          <w:b/>
          <w:sz w:val="20"/>
          <w:szCs w:val="20"/>
        </w:rPr>
        <w:t>RELEASE INFORMATION</w:t>
      </w:r>
    </w:p>
    <w:p w14:paraId="2980C0DB" w14:textId="4A1299AB" w:rsidR="0001323B" w:rsidRDefault="0001323B" w:rsidP="0001323B">
      <w:pPr>
        <w:rPr>
          <w:rFonts w:ascii="Arial" w:hAnsi="Arial" w:cs="Arial"/>
          <w:color w:val="000000"/>
          <w:sz w:val="20"/>
          <w:szCs w:val="20"/>
        </w:rPr>
      </w:pPr>
      <w:r>
        <w:rPr>
          <w:rFonts w:ascii="Arial" w:hAnsi="Arial" w:cs="Arial"/>
          <w:color w:val="000000"/>
          <w:sz w:val="20"/>
          <w:szCs w:val="20"/>
        </w:rPr>
        <w:t>Download t</w:t>
      </w:r>
      <w:r w:rsidRPr="0086590B">
        <w:rPr>
          <w:rFonts w:ascii="Arial" w:hAnsi="Arial" w:cs="Arial"/>
          <w:color w:val="000000"/>
          <w:sz w:val="20"/>
          <w:szCs w:val="20"/>
        </w:rPr>
        <w:t xml:space="preserve">he </w:t>
      </w:r>
      <w:r w:rsidRPr="0086590B">
        <w:rPr>
          <w:rFonts w:ascii="Arial" w:hAnsi="Arial" w:cs="Arial"/>
          <w:i/>
          <w:iCs/>
          <w:color w:val="000000"/>
          <w:sz w:val="20"/>
          <w:szCs w:val="20"/>
        </w:rPr>
        <w:t>202</w:t>
      </w:r>
      <w:r>
        <w:rPr>
          <w:rFonts w:ascii="Arial" w:hAnsi="Arial" w:cs="Arial"/>
          <w:i/>
          <w:iCs/>
          <w:color w:val="000000"/>
          <w:sz w:val="20"/>
          <w:szCs w:val="20"/>
        </w:rPr>
        <w:t>6</w:t>
      </w:r>
      <w:r w:rsidRPr="0086590B">
        <w:rPr>
          <w:rFonts w:ascii="Arial" w:hAnsi="Arial" w:cs="Arial"/>
          <w:i/>
          <w:iCs/>
          <w:color w:val="000000"/>
          <w:sz w:val="20"/>
          <w:szCs w:val="20"/>
        </w:rPr>
        <w:t xml:space="preserve"> KIDS COUNT</w:t>
      </w:r>
      <w:r w:rsidRPr="00246576">
        <w:rPr>
          <w:rFonts w:ascii="Arial" w:hAnsi="Arial" w:cs="Arial"/>
          <w:i/>
          <w:iCs/>
          <w:color w:val="000000"/>
          <w:sz w:val="20"/>
          <w:szCs w:val="20"/>
        </w:rPr>
        <w:t>®</w:t>
      </w:r>
      <w:r w:rsidRPr="0086590B">
        <w:rPr>
          <w:rFonts w:ascii="Arial" w:hAnsi="Arial" w:cs="Arial"/>
          <w:i/>
          <w:iCs/>
          <w:color w:val="000000"/>
          <w:sz w:val="20"/>
          <w:szCs w:val="20"/>
        </w:rPr>
        <w:t xml:space="preserve"> Data Book</w:t>
      </w:r>
      <w:r w:rsidRPr="0086590B">
        <w:rPr>
          <w:rFonts w:ascii="Arial" w:hAnsi="Arial" w:cs="Arial"/>
          <w:color w:val="000000"/>
          <w:sz w:val="20"/>
          <w:szCs w:val="20"/>
        </w:rPr>
        <w:t xml:space="preserve"> </w:t>
      </w:r>
      <w:r>
        <w:rPr>
          <w:rFonts w:ascii="Arial" w:hAnsi="Arial" w:cs="Arial"/>
          <w:color w:val="000000"/>
          <w:sz w:val="20"/>
          <w:szCs w:val="20"/>
        </w:rPr>
        <w:t>and explore the interactive report</w:t>
      </w:r>
      <w:r w:rsidRPr="0086590B">
        <w:rPr>
          <w:rFonts w:ascii="Arial" w:hAnsi="Arial" w:cs="Arial"/>
          <w:color w:val="000000"/>
          <w:sz w:val="20"/>
          <w:szCs w:val="20"/>
        </w:rPr>
        <w:t xml:space="preserve"> at</w:t>
      </w:r>
      <w:r>
        <w:rPr>
          <w:rFonts w:ascii="Arial" w:hAnsi="Arial" w:cs="Arial"/>
          <w:color w:val="000000"/>
          <w:sz w:val="20"/>
          <w:szCs w:val="20"/>
        </w:rPr>
        <w:t xml:space="preserve"> </w:t>
      </w:r>
      <w:hyperlink r:id="rId8" w:history="1">
        <w:r w:rsidRPr="00962CED">
          <w:rPr>
            <w:rStyle w:val="Hyperlink"/>
            <w:rFonts w:ascii="Arial" w:hAnsi="Arial" w:cs="Arial"/>
            <w:sz w:val="20"/>
            <w:szCs w:val="20"/>
          </w:rPr>
          <w:t>aecf.org/resources/2026-kids-count-data-book</w:t>
        </w:r>
      </w:hyperlink>
      <w:r w:rsidRPr="0086590B">
        <w:rPr>
          <w:rFonts w:ascii="Arial" w:hAnsi="Arial" w:cs="Arial"/>
          <w:color w:val="000000"/>
          <w:sz w:val="20"/>
          <w:szCs w:val="20"/>
        </w:rPr>
        <w:t>.</w:t>
      </w:r>
    </w:p>
    <w:p w14:paraId="4B734E66" w14:textId="77777777" w:rsidR="0001323B" w:rsidRPr="003355CF" w:rsidRDefault="0001323B" w:rsidP="0001323B">
      <w:pPr>
        <w:rPr>
          <w:rFonts w:ascii="Arial" w:hAnsi="Arial" w:cs="Arial"/>
          <w:sz w:val="20"/>
          <w:szCs w:val="20"/>
        </w:rPr>
      </w:pPr>
    </w:p>
    <w:p w14:paraId="2DD1D7E0" w14:textId="11BC98F1" w:rsidR="00D510E5" w:rsidRPr="00BD7FD7" w:rsidRDefault="0001323B" w:rsidP="00D510E5">
      <w:pPr>
        <w:rPr>
          <w:rFonts w:ascii="Arial" w:hAnsi="Arial" w:cs="Arial"/>
          <w:sz w:val="20"/>
          <w:szCs w:val="20"/>
        </w:rPr>
      </w:pPr>
      <w:r w:rsidRPr="003355CF">
        <w:rPr>
          <w:rFonts w:ascii="Arial" w:hAnsi="Arial" w:cs="Arial"/>
          <w:sz w:val="20"/>
          <w:szCs w:val="20"/>
        </w:rPr>
        <w:t xml:space="preserve">Journalists interested in creating maps, graphs, and rankings in stories about the </w:t>
      </w:r>
      <w:r w:rsidRPr="003355CF">
        <w:rPr>
          <w:rFonts w:ascii="Arial" w:hAnsi="Arial" w:cs="Arial"/>
          <w:i/>
          <w:iCs/>
          <w:sz w:val="20"/>
          <w:szCs w:val="20"/>
        </w:rPr>
        <w:t>Data Book</w:t>
      </w:r>
      <w:r w:rsidRPr="003355CF">
        <w:rPr>
          <w:rFonts w:ascii="Arial" w:hAnsi="Arial" w:cs="Arial"/>
          <w:sz w:val="20"/>
          <w:szCs w:val="20"/>
        </w:rPr>
        <w:t xml:space="preserve"> can use the KIDS COUNT® Data Center at </w:t>
      </w:r>
      <w:hyperlink r:id="rId9" w:history="1">
        <w:r w:rsidRPr="003355CF">
          <w:rPr>
            <w:rStyle w:val="Hyperlink"/>
            <w:rFonts w:ascii="Arial" w:hAnsi="Arial" w:cs="Arial"/>
            <w:sz w:val="20"/>
            <w:szCs w:val="20"/>
          </w:rPr>
          <w:t>datacenter.kidscount.org</w:t>
        </w:r>
      </w:hyperlink>
      <w:r w:rsidRPr="003355CF">
        <w:rPr>
          <w:rFonts w:ascii="Arial" w:hAnsi="Arial" w:cs="Arial"/>
          <w:sz w:val="20"/>
          <w:szCs w:val="20"/>
        </w:rPr>
        <w:t>.</w:t>
      </w:r>
    </w:p>
    <w:p w14:paraId="66537F18" w14:textId="77777777" w:rsidR="00D510E5" w:rsidRPr="0064367F" w:rsidRDefault="00D510E5" w:rsidP="00D510E5">
      <w:pPr>
        <w:rPr>
          <w:color w:val="000000" w:themeColor="text1"/>
        </w:rPr>
      </w:pPr>
    </w:p>
    <w:p w14:paraId="2C3FA9F1" w14:textId="77777777" w:rsidR="00D510E5" w:rsidRPr="0001323B" w:rsidRDefault="00D510E5" w:rsidP="00D510E5">
      <w:pPr>
        <w:rPr>
          <w:rFonts w:ascii="Arial" w:hAnsi="Arial" w:cs="Arial"/>
          <w:b/>
          <w:bCs/>
          <w:color w:val="000000" w:themeColor="text1"/>
          <w:sz w:val="26"/>
          <w:szCs w:val="26"/>
        </w:rPr>
      </w:pPr>
      <w:r w:rsidRPr="0001323B">
        <w:rPr>
          <w:rFonts w:ascii="Arial" w:hAnsi="Arial" w:cs="Arial"/>
          <w:b/>
          <w:bCs/>
          <w:color w:val="000000" w:themeColor="text1"/>
          <w:sz w:val="26"/>
          <w:szCs w:val="26"/>
        </w:rPr>
        <w:t>A New Way to Measure Progress: Updated KIDS COUNT® Methodology</w:t>
      </w:r>
    </w:p>
    <w:p w14:paraId="21673D72" w14:textId="77777777" w:rsidR="00D510E5" w:rsidRPr="0064367F" w:rsidRDefault="00D510E5" w:rsidP="00D510E5">
      <w:pPr>
        <w:rPr>
          <w:b/>
          <w:bCs/>
          <w:color w:val="000000" w:themeColor="text1"/>
          <w:sz w:val="28"/>
          <w:szCs w:val="28"/>
        </w:rPr>
      </w:pPr>
    </w:p>
    <w:p w14:paraId="10AD0F6A" w14:textId="77777777" w:rsidR="00D510E5" w:rsidRPr="0001323B" w:rsidRDefault="00D510E5" w:rsidP="00D510E5">
      <w:pPr>
        <w:rPr>
          <w:rFonts w:ascii="Arial" w:hAnsi="Arial" w:cs="Arial"/>
          <w:color w:val="000000" w:themeColor="text1"/>
          <w:sz w:val="22"/>
          <w:szCs w:val="22"/>
        </w:rPr>
      </w:pPr>
      <w:r w:rsidRPr="0001323B">
        <w:rPr>
          <w:rFonts w:ascii="Arial" w:hAnsi="Arial" w:cs="Arial"/>
          <w:sz w:val="22"/>
          <w:szCs w:val="22"/>
        </w:rPr>
        <w:t xml:space="preserve">For the first time, the 2026 </w:t>
      </w:r>
      <w:r w:rsidRPr="0001323B">
        <w:rPr>
          <w:rFonts w:ascii="Arial" w:hAnsi="Arial" w:cs="Arial"/>
          <w:i/>
          <w:iCs/>
          <w:sz w:val="22"/>
          <w:szCs w:val="22"/>
        </w:rPr>
        <w:t>Data Book</w:t>
      </w:r>
      <w:r w:rsidRPr="0001323B">
        <w:rPr>
          <w:rFonts w:ascii="Arial" w:hAnsi="Arial" w:cs="Arial"/>
          <w:sz w:val="22"/>
          <w:szCs w:val="22"/>
        </w:rPr>
        <w:t xml:space="preserve"> includes both scores and rankings for each state, overall and by domain. Scores are reported on a 0 – 1,000 scale, where higher values indicate better outcomes for children. They’re anchored to 2019, the last full year before the COVID-19 pandemic. This allows comparisons over time—not just across states in a single year, but also in whether outcomes are improving or declining.</w:t>
      </w:r>
    </w:p>
    <w:p w14:paraId="5A35168B" w14:textId="77777777" w:rsidR="00D510E5" w:rsidRPr="0001323B" w:rsidRDefault="00D510E5" w:rsidP="00D510E5">
      <w:pPr>
        <w:rPr>
          <w:rFonts w:ascii="Arial" w:hAnsi="Arial" w:cs="Arial"/>
          <w:color w:val="000000" w:themeColor="text1"/>
          <w:sz w:val="22"/>
          <w:szCs w:val="22"/>
        </w:rPr>
      </w:pPr>
    </w:p>
    <w:p w14:paraId="41AEC5D0" w14:textId="77777777" w:rsidR="00D510E5" w:rsidRPr="0001323B" w:rsidRDefault="00D510E5" w:rsidP="00D510E5">
      <w:pPr>
        <w:rPr>
          <w:rFonts w:ascii="Arial" w:hAnsi="Arial" w:cs="Arial"/>
          <w:color w:val="000000" w:themeColor="text1"/>
          <w:sz w:val="22"/>
          <w:szCs w:val="22"/>
        </w:rPr>
      </w:pPr>
      <w:r w:rsidRPr="0001323B">
        <w:rPr>
          <w:rFonts w:ascii="Arial" w:hAnsi="Arial" w:cs="Arial"/>
          <w:color w:val="000000" w:themeColor="text1"/>
          <w:sz w:val="22"/>
          <w:szCs w:val="22"/>
        </w:rPr>
        <w:t>The four domains, 16 indicators, and equal weighting of indicators within each domain remain the same.</w:t>
      </w:r>
    </w:p>
    <w:p w14:paraId="68E784F1" w14:textId="77777777" w:rsidR="00D510E5" w:rsidRPr="0001323B" w:rsidRDefault="00D510E5" w:rsidP="00D510E5">
      <w:pPr>
        <w:rPr>
          <w:rFonts w:ascii="Arial" w:hAnsi="Arial" w:cs="Arial"/>
          <w:color w:val="000000" w:themeColor="text1"/>
          <w:sz w:val="22"/>
          <w:szCs w:val="22"/>
        </w:rPr>
      </w:pPr>
    </w:p>
    <w:p w14:paraId="14E3FD3A" w14:textId="77777777" w:rsidR="00D510E5" w:rsidRPr="0001323B" w:rsidRDefault="00D510E5" w:rsidP="00D510E5">
      <w:pPr>
        <w:rPr>
          <w:rFonts w:ascii="Arial" w:hAnsi="Arial" w:cs="Arial"/>
          <w:color w:val="000000" w:themeColor="text1"/>
          <w:sz w:val="22"/>
          <w:szCs w:val="22"/>
        </w:rPr>
      </w:pPr>
      <w:r w:rsidRPr="0001323B">
        <w:rPr>
          <w:rFonts w:ascii="Arial" w:hAnsi="Arial" w:cs="Arial"/>
          <w:color w:val="000000" w:themeColor="text1"/>
          <w:sz w:val="22"/>
          <w:szCs w:val="22"/>
        </w:rPr>
        <w:t>What’s new are the scores that show how far apart states really are in their outcomes for child and family well-being, and the level of progress each state has made since 2019. The U.S. received an overall score of 547 out of 1,000.</w:t>
      </w:r>
    </w:p>
    <w:p w14:paraId="09764E39" w14:textId="77777777" w:rsidR="00D510E5" w:rsidRPr="0001323B" w:rsidRDefault="00D510E5" w:rsidP="00D510E5">
      <w:pPr>
        <w:rPr>
          <w:rFonts w:ascii="Arial" w:hAnsi="Arial" w:cs="Arial"/>
          <w:color w:val="000000" w:themeColor="text1"/>
          <w:sz w:val="22"/>
          <w:szCs w:val="22"/>
        </w:rPr>
      </w:pPr>
    </w:p>
    <w:p w14:paraId="1AA3A45F" w14:textId="77777777" w:rsidR="00D510E5" w:rsidRPr="0001323B" w:rsidRDefault="00D510E5" w:rsidP="00D510E5">
      <w:pPr>
        <w:rPr>
          <w:rFonts w:ascii="Arial" w:hAnsi="Arial" w:cs="Arial"/>
          <w:b/>
          <w:bCs/>
          <w:color w:val="000000" w:themeColor="text1"/>
          <w:sz w:val="22"/>
          <w:szCs w:val="22"/>
        </w:rPr>
      </w:pPr>
      <w:r w:rsidRPr="0001323B">
        <w:rPr>
          <w:rFonts w:ascii="Arial" w:hAnsi="Arial" w:cs="Arial"/>
          <w:b/>
          <w:bCs/>
          <w:color w:val="000000" w:themeColor="text1"/>
          <w:sz w:val="22"/>
          <w:szCs w:val="22"/>
        </w:rPr>
        <w:t>Why This New Lens Matters for Georgia</w:t>
      </w:r>
    </w:p>
    <w:p w14:paraId="7F661B1F" w14:textId="12E584D1" w:rsidR="000A6E74" w:rsidRPr="0001323B" w:rsidRDefault="00D510E5" w:rsidP="00D510E5">
      <w:pPr>
        <w:rPr>
          <w:rFonts w:ascii="Arial" w:hAnsi="Arial" w:cs="Arial"/>
          <w:sz w:val="22"/>
          <w:szCs w:val="22"/>
        </w:rPr>
      </w:pPr>
      <w:r w:rsidRPr="0001323B">
        <w:rPr>
          <w:rFonts w:ascii="Arial" w:hAnsi="Arial" w:cs="Arial"/>
          <w:color w:val="000000" w:themeColor="text1"/>
          <w:sz w:val="22"/>
          <w:szCs w:val="22"/>
        </w:rPr>
        <w:t>Under the updated methodology, Georgia’s 2025 ranking published as 39th would have been 38th. With 2024 data, Georgia now ranks 39th, reflecting negative changes in outcomes for Georgia’s children—not simply shifts in how other states performed. The scores make clear that Georgia has room for improvement in every domain, particularly health, and that the state’s plateau in rankings masks underlying ground lost since 2019 in areas like education.</w:t>
      </w:r>
    </w:p>
    <w:p w14:paraId="3136F156" w14:textId="77777777" w:rsidR="00D510E5" w:rsidRDefault="00D510E5" w:rsidP="00A64564">
      <w:pPr>
        <w:rPr>
          <w:rFonts w:ascii="Arial" w:hAnsi="Arial" w:cs="Arial"/>
          <w:sz w:val="20"/>
          <w:szCs w:val="20"/>
        </w:rPr>
      </w:pPr>
    </w:p>
    <w:p w14:paraId="483FFC89" w14:textId="056398B6" w:rsidR="00D510E5" w:rsidRDefault="00D510E5" w:rsidP="00A64564">
      <w:pPr>
        <w:rPr>
          <w:rFonts w:ascii="Arial" w:hAnsi="Arial" w:cs="Arial"/>
          <w:b/>
          <w:bCs/>
          <w:sz w:val="20"/>
          <w:szCs w:val="20"/>
        </w:rPr>
      </w:pPr>
      <w:r>
        <w:rPr>
          <w:rFonts w:ascii="Arial" w:hAnsi="Arial" w:cs="Arial"/>
          <w:sz w:val="20"/>
          <w:szCs w:val="20"/>
        </w:rPr>
        <w:lastRenderedPageBreak/>
        <w:t xml:space="preserve">Download </w:t>
      </w:r>
      <w:r w:rsidRPr="00962CED">
        <w:rPr>
          <w:rFonts w:ascii="Arial" w:hAnsi="Arial" w:cs="Arial"/>
          <w:i/>
          <w:iCs/>
          <w:sz w:val="20"/>
          <w:szCs w:val="20"/>
        </w:rPr>
        <w:t>An Updated Methodology for the KIDS COUNT® Index</w:t>
      </w:r>
      <w:r w:rsidR="00962CED">
        <w:rPr>
          <w:rFonts w:ascii="Arial" w:hAnsi="Arial" w:cs="Arial"/>
          <w:sz w:val="20"/>
          <w:szCs w:val="20"/>
        </w:rPr>
        <w:t xml:space="preserve"> at:</w:t>
      </w:r>
      <w:r w:rsidR="00962CED">
        <w:rPr>
          <w:rFonts w:ascii="Arial" w:hAnsi="Arial" w:cs="Arial"/>
          <w:sz w:val="20"/>
          <w:szCs w:val="20"/>
        </w:rPr>
        <w:br/>
      </w:r>
      <w:hyperlink r:id="rId10" w:history="1">
        <w:r w:rsidR="00962CED" w:rsidRPr="00962CED">
          <w:rPr>
            <w:rStyle w:val="Hyperlink"/>
            <w:rFonts w:ascii="Arial" w:hAnsi="Arial" w:cs="Arial"/>
            <w:sz w:val="20"/>
            <w:szCs w:val="20"/>
          </w:rPr>
          <w:t>aecf.org/resources/the-new-kids-count-index-methodology</w:t>
        </w:r>
      </w:hyperlink>
    </w:p>
    <w:p w14:paraId="28ABD416" w14:textId="77777777" w:rsidR="00D510E5" w:rsidRDefault="00D510E5" w:rsidP="00A64564">
      <w:pPr>
        <w:rPr>
          <w:rFonts w:ascii="Arial" w:hAnsi="Arial" w:cs="Arial"/>
          <w:b/>
          <w:bCs/>
          <w:sz w:val="20"/>
          <w:szCs w:val="20"/>
        </w:rPr>
      </w:pPr>
    </w:p>
    <w:p w14:paraId="704A9BCD" w14:textId="085B111A" w:rsidR="00A64564" w:rsidRPr="00246576" w:rsidRDefault="00A64564" w:rsidP="00A64564">
      <w:pPr>
        <w:rPr>
          <w:rFonts w:ascii="Arial" w:hAnsi="Arial" w:cs="Arial"/>
          <w:color w:val="000000" w:themeColor="text1"/>
          <w:sz w:val="20"/>
          <w:szCs w:val="20"/>
        </w:rPr>
      </w:pPr>
      <w:r w:rsidRPr="003355CF">
        <w:rPr>
          <w:rFonts w:ascii="Arial" w:hAnsi="Arial" w:cs="Arial"/>
          <w:b/>
          <w:bCs/>
          <w:sz w:val="20"/>
          <w:szCs w:val="20"/>
        </w:rPr>
        <w:t>Georgia Family Connection Partnership</w:t>
      </w:r>
      <w:r w:rsidRPr="003355CF">
        <w:rPr>
          <w:rFonts w:ascii="Arial" w:hAnsi="Arial" w:cs="Arial"/>
          <w:sz w:val="20"/>
          <w:szCs w:val="20"/>
        </w:rPr>
        <w:t xml:space="preserve"> (</w:t>
      </w:r>
      <w:proofErr w:type="spellStart"/>
      <w:r w:rsidRPr="003355CF">
        <w:rPr>
          <w:rFonts w:ascii="Arial" w:hAnsi="Arial" w:cs="Arial"/>
          <w:sz w:val="20"/>
          <w:szCs w:val="20"/>
        </w:rPr>
        <w:t>GaFCP</w:t>
      </w:r>
      <w:proofErr w:type="spellEnd"/>
      <w:r w:rsidRPr="003355CF">
        <w:rPr>
          <w:rFonts w:ascii="Arial" w:hAnsi="Arial" w:cs="Arial"/>
          <w:sz w:val="20"/>
          <w:szCs w:val="20"/>
        </w:rPr>
        <w:t xml:space="preserve">) is a public-private partnership created by the State of Georgia and investors from the private sector to assist communities in addressing the serious challenges facing children and families. </w:t>
      </w:r>
      <w:proofErr w:type="spellStart"/>
      <w:r w:rsidRPr="003355CF">
        <w:rPr>
          <w:rFonts w:ascii="Arial" w:hAnsi="Arial" w:cs="Arial"/>
          <w:sz w:val="20"/>
          <w:szCs w:val="20"/>
        </w:rPr>
        <w:t>GaFCP</w:t>
      </w:r>
      <w:proofErr w:type="spellEnd"/>
      <w:r w:rsidRPr="003355CF">
        <w:rPr>
          <w:rFonts w:ascii="Arial" w:hAnsi="Arial" w:cs="Arial"/>
          <w:sz w:val="20"/>
          <w:szCs w:val="20"/>
        </w:rPr>
        <w:t xml:space="preserve"> also serves as a resource to state agencies across Georgia that work to improve the conditions of children and families. Georgia KIDS COUNT provides policymakers and citizens with current data they need to make informed decisions regarding priorities, services, and resources that impact Georgia’s children, youth, families, and communities. Georgia KIDS COUNT is funded, in part, through a grant from The Annie E. Casey Foundation, a private charitable organization dedicated to helping build better futures for disadvantaged children in the United States. </w:t>
      </w:r>
      <w:r>
        <w:rPr>
          <w:rFonts w:ascii="Arial" w:hAnsi="Arial" w:cs="Arial"/>
          <w:sz w:val="20"/>
          <w:szCs w:val="20"/>
        </w:rPr>
        <w:t>V</w:t>
      </w:r>
      <w:r w:rsidRPr="003355CF">
        <w:rPr>
          <w:rFonts w:ascii="Arial" w:hAnsi="Arial" w:cs="Arial"/>
          <w:sz w:val="20"/>
          <w:szCs w:val="20"/>
        </w:rPr>
        <w:t xml:space="preserve">isit </w:t>
      </w:r>
      <w:hyperlink r:id="rId11" w:history="1">
        <w:r w:rsidRPr="003355CF">
          <w:rPr>
            <w:rStyle w:val="Hyperlink"/>
            <w:rFonts w:ascii="Arial" w:hAnsi="Arial" w:cs="Arial"/>
            <w:sz w:val="20"/>
            <w:szCs w:val="20"/>
          </w:rPr>
          <w:t>gafcp.org</w:t>
        </w:r>
      </w:hyperlink>
      <w:r w:rsidRPr="003355CF">
        <w:rPr>
          <w:rFonts w:ascii="Arial" w:hAnsi="Arial" w:cs="Arial"/>
          <w:sz w:val="20"/>
          <w:szCs w:val="20"/>
        </w:rPr>
        <w:t>.</w:t>
      </w:r>
    </w:p>
    <w:p w14:paraId="4D2115EB" w14:textId="77777777" w:rsidR="00A64564" w:rsidRDefault="00A64564" w:rsidP="00A64564">
      <w:pPr>
        <w:rPr>
          <w:rFonts w:ascii="Arial" w:hAnsi="Arial" w:cs="Arial"/>
          <w:b/>
          <w:bCs/>
          <w:sz w:val="20"/>
          <w:szCs w:val="20"/>
        </w:rPr>
      </w:pPr>
    </w:p>
    <w:p w14:paraId="7FA9D9CB" w14:textId="1DE74A7B" w:rsidR="00517DE9" w:rsidRPr="003355CF" w:rsidRDefault="00A64564" w:rsidP="00A64564">
      <w:pPr>
        <w:rPr>
          <w:rFonts w:ascii="Arial" w:hAnsi="Arial" w:cs="Arial"/>
          <w:sz w:val="20"/>
          <w:szCs w:val="20"/>
        </w:rPr>
      </w:pPr>
      <w:r w:rsidRPr="003355CF">
        <w:rPr>
          <w:rFonts w:ascii="Arial" w:hAnsi="Arial" w:cs="Arial"/>
          <w:b/>
          <w:bCs/>
          <w:sz w:val="20"/>
          <w:szCs w:val="20"/>
        </w:rPr>
        <w:t>The Annie E. Casey Foundation</w:t>
      </w:r>
      <w:r w:rsidRPr="003355CF">
        <w:rPr>
          <w:rFonts w:ascii="Arial" w:hAnsi="Arial" w:cs="Arial"/>
          <w:sz w:val="20"/>
          <w:szCs w:val="20"/>
        </w:rPr>
        <w:t xml:space="preserve"> creates a brighter future for the nation’s children by developing solutions to strengthen families, build paths to economic opportunity and transform struggling communities into safer and healthier places to live, work, and grow. </w:t>
      </w:r>
      <w:r>
        <w:rPr>
          <w:rFonts w:ascii="Arial" w:hAnsi="Arial" w:cs="Arial"/>
          <w:sz w:val="20"/>
          <w:szCs w:val="20"/>
        </w:rPr>
        <w:t>V</w:t>
      </w:r>
      <w:r w:rsidRPr="003355CF">
        <w:rPr>
          <w:rFonts w:ascii="Arial" w:hAnsi="Arial" w:cs="Arial"/>
          <w:sz w:val="20"/>
          <w:szCs w:val="20"/>
        </w:rPr>
        <w:t xml:space="preserve">isit </w:t>
      </w:r>
      <w:hyperlink r:id="rId12" w:history="1">
        <w:r w:rsidRPr="003355CF">
          <w:rPr>
            <w:rStyle w:val="Hyperlink"/>
            <w:rFonts w:ascii="Arial" w:hAnsi="Arial" w:cs="Arial"/>
            <w:sz w:val="20"/>
            <w:szCs w:val="20"/>
          </w:rPr>
          <w:t>aecf.org</w:t>
        </w:r>
      </w:hyperlink>
      <w:r w:rsidRPr="003355CF">
        <w:rPr>
          <w:rFonts w:ascii="Arial" w:hAnsi="Arial" w:cs="Arial"/>
          <w:sz w:val="20"/>
          <w:szCs w:val="20"/>
        </w:rPr>
        <w:t>. KIDS COUNT</w:t>
      </w:r>
      <w:r w:rsidRPr="003355CF">
        <w:rPr>
          <w:rFonts w:ascii="Arial" w:hAnsi="Arial" w:cs="Arial"/>
          <w:sz w:val="20"/>
          <w:szCs w:val="20"/>
          <w:vertAlign w:val="superscript"/>
        </w:rPr>
        <w:t>®</w:t>
      </w:r>
      <w:r w:rsidRPr="003355CF">
        <w:rPr>
          <w:rFonts w:ascii="Arial" w:hAnsi="Arial" w:cs="Arial"/>
          <w:sz w:val="20"/>
          <w:szCs w:val="20"/>
        </w:rPr>
        <w:t xml:space="preserve"> is a registered trademark of The Annie E. Casey Foundation.</w:t>
      </w:r>
    </w:p>
    <w:sectPr w:rsidR="00517DE9" w:rsidRPr="003355CF" w:rsidSect="00F730FA">
      <w:head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A1E56" w14:textId="77777777" w:rsidR="003843CF" w:rsidRDefault="003843CF" w:rsidP="00DF5867">
      <w:r>
        <w:separator/>
      </w:r>
    </w:p>
  </w:endnote>
  <w:endnote w:type="continuationSeparator" w:id="0">
    <w:p w14:paraId="4CA4D316" w14:textId="77777777" w:rsidR="003843CF" w:rsidRDefault="003843CF" w:rsidP="00DF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55 Roman">
    <w:panose1 w:val="020B060402020202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7FB2" w14:textId="77777777" w:rsidR="00991E6D" w:rsidRDefault="00991E6D">
    <w:pPr>
      <w:pStyle w:val="Footer"/>
    </w:pPr>
    <w:r w:rsidRPr="004715A5">
      <w:rPr>
        <w:color w:val="96796B"/>
      </w:rPr>
      <w:t xml:space="preserve">235 Peachtree Street, Suite 1600, Atlanta, </w:t>
    </w:r>
    <w:r>
      <w:rPr>
        <w:color w:val="96796B"/>
      </w:rPr>
      <w:softHyphen/>
    </w:r>
    <w:r w:rsidRPr="004715A5">
      <w:rPr>
        <w:color w:val="96796B"/>
      </w:rPr>
      <w:t>GA 30303-1422  |  404-527-7394  |  gafcp.org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346AB" w14:textId="77777777" w:rsidR="003843CF" w:rsidRDefault="003843CF" w:rsidP="00DF5867">
      <w:r>
        <w:separator/>
      </w:r>
    </w:p>
  </w:footnote>
  <w:footnote w:type="continuationSeparator" w:id="0">
    <w:p w14:paraId="40C9BD46" w14:textId="77777777" w:rsidR="003843CF" w:rsidRDefault="003843CF" w:rsidP="00DF5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9469" w14:textId="384650E7" w:rsidR="00DF5867" w:rsidRPr="00991E6D" w:rsidRDefault="00991E6D">
    <w:pPr>
      <w:pStyle w:val="Header"/>
      <w:rPr>
        <w:rFonts w:ascii="Arial" w:hAnsi="Arial" w:cs="Arial"/>
        <w:sz w:val="18"/>
        <w:szCs w:val="18"/>
      </w:rPr>
    </w:pPr>
    <w:r w:rsidRPr="00991E6D">
      <w:rPr>
        <w:rFonts w:ascii="Arial" w:hAnsi="Arial" w:cs="Arial"/>
        <w:b/>
        <w:bCs/>
        <w:color w:val="000000"/>
        <w:sz w:val="18"/>
        <w:szCs w:val="18"/>
      </w:rPr>
      <w:t>Georgia ranks 3</w:t>
    </w:r>
    <w:r w:rsidR="000A6E74">
      <w:rPr>
        <w:rFonts w:ascii="Arial" w:hAnsi="Arial" w:cs="Arial"/>
        <w:b/>
        <w:bCs/>
        <w:color w:val="000000"/>
        <w:sz w:val="18"/>
        <w:szCs w:val="18"/>
      </w:rPr>
      <w:t>9</w:t>
    </w:r>
    <w:r w:rsidRPr="00991E6D">
      <w:rPr>
        <w:rFonts w:ascii="Arial" w:hAnsi="Arial" w:cs="Arial"/>
        <w:b/>
        <w:bCs/>
        <w:color w:val="000000"/>
        <w:sz w:val="18"/>
        <w:szCs w:val="18"/>
      </w:rPr>
      <w:t>th in the Nation for Child Well-Being</w:t>
    </w:r>
    <w:r>
      <w:rPr>
        <w:rFonts w:ascii="Arial" w:hAnsi="Arial" w:cs="Arial"/>
        <w:b/>
        <w:bCs/>
        <w:color w:val="000000"/>
        <w:sz w:val="18"/>
        <w:szCs w:val="18"/>
      </w:rPr>
      <w:t xml:space="preserve"> (cont.)</w:t>
    </w:r>
    <w:r w:rsidR="00DF5867" w:rsidRPr="00991E6D">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259"/>
      <w:gridCol w:w="3041"/>
      <w:gridCol w:w="3060"/>
    </w:tblGrid>
    <w:tr w:rsidR="00F730FA" w14:paraId="16C96B44" w14:textId="77777777" w:rsidTr="00AC1EAC">
      <w:tc>
        <w:tcPr>
          <w:tcW w:w="3116" w:type="dxa"/>
        </w:tcPr>
        <w:p w14:paraId="2515254E" w14:textId="3C3B54E5" w:rsidR="00F730FA" w:rsidRPr="00AC1EAC" w:rsidRDefault="00605C55" w:rsidP="00F730FA">
          <w:pPr>
            <w:pStyle w:val="Header"/>
            <w:rPr>
              <w:sz w:val="22"/>
              <w:szCs w:val="22"/>
            </w:rPr>
          </w:pPr>
          <w:r>
            <w:rPr>
              <w:noProof/>
            </w:rPr>
            <mc:AlternateContent>
              <mc:Choice Requires="wps">
                <w:drawing>
                  <wp:anchor distT="0" distB="0" distL="114292" distR="114292" simplePos="0" relativeHeight="251657728" behindDoc="0" locked="0" layoutInCell="1" allowOverlap="1" wp14:anchorId="3B40779A" wp14:editId="675A6BD6">
                    <wp:simplePos x="0" y="0"/>
                    <wp:positionH relativeFrom="column">
                      <wp:posOffset>2009226</wp:posOffset>
                    </wp:positionH>
                    <wp:positionV relativeFrom="paragraph">
                      <wp:posOffset>-5137</wp:posOffset>
                    </wp:positionV>
                    <wp:extent cx="0" cy="1602768"/>
                    <wp:effectExtent l="12700" t="0" r="12700" b="2286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0" cy="1602768"/>
                            </a:xfrm>
                            <a:prstGeom prst="line">
                              <a:avLst/>
                            </a:prstGeom>
                            <a:noFill/>
                            <a:ln w="19050" cap="flat" cmpd="sng" algn="ctr">
                              <a:solidFill>
                                <a:srgbClr val="BAAB9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B578AC" id="Straight Connector 2" o:spid="_x0000_s1026" style="position:absolute;z-index:251657728;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margin;mso-height-relative:margin" from="158.2pt,-.4pt" to="158.2pt,12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3fi3xgEAAHgDAAAOAAAAZHJzL2Uyb0RvYy54bWysU8tu2zAQvBfoPxC815IN1HUEy0FiI70E&#13;&#10;bYCkH7CmKIkoX+Cylvz3XVKy08ctiA4Ed8kd7syOtrej0ewkAypna75clJxJK1yjbFfzHy8Pnzac&#13;&#10;YQTbgHZW1vwskd/uPn7YDr6SK9c73cjACMRiNfia9zH6qihQ9NIALpyXlg5bFwxECkNXNAEGQje6&#13;&#10;WJXluhhcaHxwQiJS9jAd8l3Gb1sp4ve2RRmZrjn1FvMa8npMa7HbQtUF8L0Scxvwhi4MKEuPXqEO&#13;&#10;EIH9Cuo/KKNEcOjauBDOFK5tlZCZA7FZlv+wee7By8yFxEF/lQnfD1Z8O+3tU0iti9E++0cnfiKz&#13;&#10;bt+D7WRu4OXsaXDLJFUxeKyuJSlAPxWPbTAJhBixMct7vsorx8jElBSUXa7L1Zf1JuNBdSn0AeNX&#13;&#10;6QxLm5prZRNzqOD0iDE9DdXlSkpb96C0ztPTlg2EelN+pgELIBO1GiJtjW9qjrbjDHRH7hQxZEh0&#13;&#10;WjWpPAFh6I57HdgJyCH3d3f3N+u5s7+upbcPgP10Lx9N3jEqkoG1MjXflOmbq7VN6DJbcGbwqlfa&#13;&#10;HV1zfgoXUWm8meNsxeSfP+Ms/esPs/sNAAD//wMAUEsDBBQABgAIAAAAIQAumPxw4gAAAA4BAAAP&#13;&#10;AAAAZHJzL2Rvd25yZXYueG1sTI9BT8MwDIXvSPyHyEjcWNoB1ejqThMI2GESYps4Z41pKpqkNOnW&#13;&#10;/Xs8cYCLpadnP7+vWIy2FQfqQ+MdQjpJQJCrvG5cjbDbPt/MQISonFatd4RwogCL8vKiULn2R/dO&#13;&#10;h02sBYe4kCsEE2OXSxkqQ1aFie/Isffpe6siy76WuldHDretnCZJJq1qHH8wqqNHQ9XXZrAI9vvh&#13;&#10;9SV8nKIZ3lbpOl2uVztbIV5fjU9zHss5iEhj/LuAMwP3h5KL7f3gdBAtwm2a3fEqwhmD/V+9R5je&#13;&#10;pxnIspD/McofAAAA//8DAFBLAQItABQABgAIAAAAIQC2gziS/gAAAOEBAAATAAAAAAAAAAAAAAAA&#13;&#10;AAAAAABbQ29udGVudF9UeXBlc10ueG1sUEsBAi0AFAAGAAgAAAAhADj9If/WAAAAlAEAAAsAAAAA&#13;&#10;AAAAAAAAAAAALwEAAF9yZWxzLy5yZWxzUEsBAi0AFAAGAAgAAAAhAMzd+LfGAQAAeAMAAA4AAAAA&#13;&#10;AAAAAAAAAAAALgIAAGRycy9lMm9Eb2MueG1sUEsBAi0AFAAGAAgAAAAhAC6Y/HDiAAAADgEAAA8A&#13;&#10;AAAAAAAAAAAAAAAAIAQAAGRycy9kb3ducmV2LnhtbFBLBQYAAAAABAAEAPMAAAAvBQAAAAA=&#13;&#10;" strokecolor="#baab96" strokeweight="1.5pt">
                    <v:stroke joinstyle="miter"/>
                  </v:line>
                </w:pict>
              </mc:Fallback>
            </mc:AlternateContent>
          </w:r>
          <w:r w:rsidR="00D510E5">
            <w:rPr>
              <w:noProof/>
              <w:sz w:val="22"/>
              <w:szCs w:val="22"/>
            </w:rPr>
            <w:drawing>
              <wp:inline distT="0" distB="0" distL="0" distR="0" wp14:anchorId="4B34B6BF" wp14:editId="34A94E2F">
                <wp:extent cx="1932306" cy="1458930"/>
                <wp:effectExtent l="0" t="0" r="0" b="0"/>
                <wp:docPr id="15972134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213489" name="Picture 1597213489"/>
                        <pic:cNvPicPr/>
                      </pic:nvPicPr>
                      <pic:blipFill>
                        <a:blip r:embed="rId1">
                          <a:extLst>
                            <a:ext uri="{28A0092B-C50C-407E-A947-70E740481C1C}">
                              <a14:useLocalDpi xmlns:a14="http://schemas.microsoft.com/office/drawing/2010/main" val="0"/>
                            </a:ext>
                          </a:extLst>
                        </a:blip>
                        <a:stretch>
                          <a:fillRect/>
                        </a:stretch>
                      </pic:blipFill>
                      <pic:spPr>
                        <a:xfrm>
                          <a:off x="0" y="0"/>
                          <a:ext cx="1970086" cy="1487455"/>
                        </a:xfrm>
                        <a:prstGeom prst="rect">
                          <a:avLst/>
                        </a:prstGeom>
                      </pic:spPr>
                    </pic:pic>
                  </a:graphicData>
                </a:graphic>
              </wp:inline>
            </w:drawing>
          </w:r>
          <w:r w:rsidR="00F730FA" w:rsidRPr="00AC1EAC">
            <w:rPr>
              <w:noProof/>
              <w:sz w:val="22"/>
              <w:szCs w:val="22"/>
            </w:rPr>
            <w:t xml:space="preserve"> </w:t>
          </w:r>
        </w:p>
      </w:tc>
      <w:tc>
        <w:tcPr>
          <w:tcW w:w="3117" w:type="dxa"/>
        </w:tcPr>
        <w:p w14:paraId="3744F794" w14:textId="63E1AD7A" w:rsidR="00F730FA" w:rsidRPr="00AC1EAC" w:rsidRDefault="00F730FA" w:rsidP="00F730FA">
          <w:pPr>
            <w:pStyle w:val="Header"/>
            <w:rPr>
              <w:sz w:val="22"/>
              <w:szCs w:val="22"/>
            </w:rPr>
          </w:pPr>
          <w:r w:rsidRPr="00AC1EAC">
            <w:rPr>
              <w:sz w:val="22"/>
              <w:szCs w:val="22"/>
            </w:rPr>
            <w:t xml:space="preserve">  </w:t>
          </w:r>
          <w:r w:rsidR="00605C55" w:rsidRPr="00AC1EAC">
            <w:rPr>
              <w:noProof/>
              <w:sz w:val="22"/>
              <w:szCs w:val="22"/>
            </w:rPr>
            <w:drawing>
              <wp:inline distT="0" distB="0" distL="0" distR="0" wp14:anchorId="32A21B69" wp14:editId="17283882">
                <wp:extent cx="900638" cy="1510301"/>
                <wp:effectExtent l="0" t="0" r="1270" b="127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7290" cy="1521455"/>
                        </a:xfrm>
                        <a:prstGeom prst="rect">
                          <a:avLst/>
                        </a:prstGeom>
                        <a:noFill/>
                        <a:ln>
                          <a:noFill/>
                        </a:ln>
                      </pic:spPr>
                    </pic:pic>
                  </a:graphicData>
                </a:graphic>
              </wp:inline>
            </w:drawing>
          </w:r>
        </w:p>
      </w:tc>
      <w:tc>
        <w:tcPr>
          <w:tcW w:w="3117" w:type="dxa"/>
        </w:tcPr>
        <w:p w14:paraId="6BDAC53A" w14:textId="77777777" w:rsidR="00F730FA" w:rsidRPr="00AC1EAC" w:rsidRDefault="00F730FA" w:rsidP="00AC1EAC">
          <w:pPr>
            <w:jc w:val="right"/>
            <w:rPr>
              <w:rFonts w:ascii="Arial" w:hAnsi="Arial" w:cs="Arial"/>
              <w:sz w:val="22"/>
              <w:szCs w:val="22"/>
            </w:rPr>
          </w:pPr>
        </w:p>
        <w:p w14:paraId="42CD2174" w14:textId="77777777" w:rsidR="00F730FA" w:rsidRPr="00AC1EAC" w:rsidRDefault="00F730FA" w:rsidP="00AC1EAC">
          <w:pPr>
            <w:jc w:val="right"/>
            <w:rPr>
              <w:rFonts w:ascii="Arial" w:hAnsi="Arial" w:cs="Arial"/>
              <w:sz w:val="22"/>
              <w:szCs w:val="22"/>
            </w:rPr>
          </w:pPr>
        </w:p>
        <w:p w14:paraId="528941D2" w14:textId="77777777" w:rsidR="00F730FA" w:rsidRPr="00AC1EAC" w:rsidRDefault="00F730FA" w:rsidP="00AC1EAC">
          <w:pPr>
            <w:jc w:val="right"/>
            <w:rPr>
              <w:rFonts w:ascii="Arial" w:hAnsi="Arial" w:cs="Arial"/>
              <w:sz w:val="22"/>
              <w:szCs w:val="22"/>
            </w:rPr>
          </w:pPr>
        </w:p>
        <w:p w14:paraId="76AEF798" w14:textId="77777777" w:rsidR="00F730FA" w:rsidRPr="00AC1EAC" w:rsidRDefault="00F730FA" w:rsidP="00AC1EAC">
          <w:pPr>
            <w:jc w:val="right"/>
            <w:rPr>
              <w:rFonts w:ascii="Arial" w:hAnsi="Arial" w:cs="Arial"/>
              <w:sz w:val="22"/>
              <w:szCs w:val="22"/>
            </w:rPr>
          </w:pPr>
        </w:p>
        <w:p w14:paraId="315D680C" w14:textId="77777777" w:rsidR="00F730FA" w:rsidRPr="00AC1EAC" w:rsidRDefault="00F730FA" w:rsidP="00AC1EAC">
          <w:pPr>
            <w:jc w:val="right"/>
            <w:rPr>
              <w:rFonts w:ascii="Arial" w:hAnsi="Arial" w:cs="Arial"/>
              <w:sz w:val="22"/>
              <w:szCs w:val="22"/>
            </w:rPr>
          </w:pPr>
          <w:r w:rsidRPr="00AC1EAC">
            <w:rPr>
              <w:rFonts w:ascii="Arial" w:hAnsi="Arial" w:cs="Arial"/>
              <w:sz w:val="22"/>
              <w:szCs w:val="22"/>
            </w:rPr>
            <w:t>Contact: Bill Valladares</w:t>
          </w:r>
        </w:p>
        <w:p w14:paraId="676D6880" w14:textId="77777777" w:rsidR="00F730FA" w:rsidRPr="00AC1EAC" w:rsidRDefault="00F730FA" w:rsidP="00AC1EAC">
          <w:pPr>
            <w:jc w:val="right"/>
            <w:rPr>
              <w:rFonts w:ascii="Arial" w:hAnsi="Arial" w:cs="Arial"/>
              <w:sz w:val="22"/>
              <w:szCs w:val="22"/>
            </w:rPr>
          </w:pPr>
          <w:r w:rsidRPr="00AC1EAC">
            <w:rPr>
              <w:rFonts w:ascii="Arial" w:hAnsi="Arial" w:cs="Arial"/>
              <w:sz w:val="22"/>
              <w:szCs w:val="22"/>
            </w:rPr>
            <w:fldChar w:fldCharType="begin"/>
          </w:r>
          <w:r w:rsidRPr="00AC1EAC">
            <w:rPr>
              <w:rFonts w:ascii="Arial" w:hAnsi="Arial" w:cs="Arial"/>
              <w:sz w:val="22"/>
              <w:szCs w:val="22"/>
            </w:rPr>
            <w:instrText xml:space="preserve"> HYPERLINK "mailto:william@gafcp.org</w:instrText>
          </w:r>
        </w:p>
        <w:p w14:paraId="6B4EF607" w14:textId="77777777" w:rsidR="00F730FA" w:rsidRPr="00AC1EAC" w:rsidRDefault="00F730FA" w:rsidP="00AC1EAC">
          <w:pPr>
            <w:jc w:val="right"/>
            <w:rPr>
              <w:rStyle w:val="Hyperlink"/>
              <w:rFonts w:ascii="Arial" w:hAnsi="Arial" w:cs="Arial"/>
              <w:sz w:val="22"/>
              <w:szCs w:val="22"/>
            </w:rPr>
          </w:pPr>
          <w:r w:rsidRPr="00AC1EAC">
            <w:rPr>
              <w:rFonts w:ascii="Arial" w:hAnsi="Arial" w:cs="Arial"/>
              <w:sz w:val="22"/>
              <w:szCs w:val="22"/>
            </w:rPr>
            <w:instrText xml:space="preserve">" </w:instrText>
          </w:r>
          <w:r w:rsidRPr="00AC1EAC">
            <w:rPr>
              <w:rFonts w:ascii="Arial" w:hAnsi="Arial" w:cs="Arial"/>
              <w:sz w:val="22"/>
              <w:szCs w:val="22"/>
            </w:rPr>
          </w:r>
          <w:r w:rsidRPr="00AC1EAC">
            <w:rPr>
              <w:rFonts w:ascii="Arial" w:hAnsi="Arial" w:cs="Arial"/>
            </w:rPr>
            <w:fldChar w:fldCharType="separate"/>
          </w:r>
          <w:r w:rsidRPr="00AC1EAC">
            <w:rPr>
              <w:rStyle w:val="Hyperlink"/>
              <w:rFonts w:ascii="Arial" w:hAnsi="Arial" w:cs="Arial"/>
              <w:sz w:val="22"/>
              <w:szCs w:val="22"/>
            </w:rPr>
            <w:t>william@gafcp.org</w:t>
          </w:r>
        </w:p>
        <w:p w14:paraId="4F414A3A" w14:textId="77777777" w:rsidR="00F730FA" w:rsidRPr="00AC1EAC" w:rsidRDefault="00F730FA" w:rsidP="00AC1EAC">
          <w:pPr>
            <w:pStyle w:val="Header"/>
            <w:jc w:val="right"/>
            <w:rPr>
              <w:sz w:val="22"/>
              <w:szCs w:val="22"/>
            </w:rPr>
          </w:pPr>
          <w:r w:rsidRPr="00AC1EAC">
            <w:rPr>
              <w:rFonts w:ascii="Arial" w:hAnsi="Arial" w:cs="Arial"/>
              <w:sz w:val="22"/>
              <w:szCs w:val="22"/>
            </w:rPr>
            <w:fldChar w:fldCharType="end"/>
          </w:r>
          <w:r w:rsidRPr="00AC1EAC">
            <w:rPr>
              <w:rFonts w:ascii="Arial" w:hAnsi="Arial" w:cs="Arial"/>
              <w:sz w:val="22"/>
              <w:szCs w:val="22"/>
            </w:rPr>
            <w:t>404-739-0043</w:t>
          </w:r>
        </w:p>
      </w:tc>
    </w:tr>
  </w:tbl>
  <w:p w14:paraId="4824BB29" w14:textId="77777777" w:rsidR="00F730FA" w:rsidRDefault="00F73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5476"/>
    <w:multiLevelType w:val="hybridMultilevel"/>
    <w:tmpl w:val="FA8A2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613C6D"/>
    <w:multiLevelType w:val="multilevel"/>
    <w:tmpl w:val="DCC4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F22730"/>
    <w:multiLevelType w:val="hybridMultilevel"/>
    <w:tmpl w:val="3454D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DA7233"/>
    <w:multiLevelType w:val="multilevel"/>
    <w:tmpl w:val="D29C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5964522">
    <w:abstractNumId w:val="2"/>
  </w:num>
  <w:num w:numId="2" w16cid:durableId="97412497">
    <w:abstractNumId w:val="3"/>
  </w:num>
  <w:num w:numId="3" w16cid:durableId="1100947591">
    <w:abstractNumId w:val="1"/>
  </w:num>
  <w:num w:numId="4" w16cid:durableId="1721324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71"/>
    <w:rsid w:val="000020D5"/>
    <w:rsid w:val="00003F87"/>
    <w:rsid w:val="000045D4"/>
    <w:rsid w:val="0001323B"/>
    <w:rsid w:val="000149A3"/>
    <w:rsid w:val="00021009"/>
    <w:rsid w:val="00030C18"/>
    <w:rsid w:val="000340C7"/>
    <w:rsid w:val="00034D9D"/>
    <w:rsid w:val="000366E4"/>
    <w:rsid w:val="000431A8"/>
    <w:rsid w:val="000437D9"/>
    <w:rsid w:val="00050777"/>
    <w:rsid w:val="00053830"/>
    <w:rsid w:val="00065286"/>
    <w:rsid w:val="000662E8"/>
    <w:rsid w:val="00066FBC"/>
    <w:rsid w:val="000731EA"/>
    <w:rsid w:val="000809D8"/>
    <w:rsid w:val="00083FEF"/>
    <w:rsid w:val="00090FA1"/>
    <w:rsid w:val="00092055"/>
    <w:rsid w:val="0009721A"/>
    <w:rsid w:val="000A40A0"/>
    <w:rsid w:val="000A5107"/>
    <w:rsid w:val="000A540E"/>
    <w:rsid w:val="000A6674"/>
    <w:rsid w:val="000A6E74"/>
    <w:rsid w:val="000B6201"/>
    <w:rsid w:val="000B7445"/>
    <w:rsid w:val="000D5B98"/>
    <w:rsid w:val="000E1012"/>
    <w:rsid w:val="000E2AAD"/>
    <w:rsid w:val="000E7DC7"/>
    <w:rsid w:val="00100F49"/>
    <w:rsid w:val="00101208"/>
    <w:rsid w:val="00101491"/>
    <w:rsid w:val="0010247F"/>
    <w:rsid w:val="00106259"/>
    <w:rsid w:val="00113F10"/>
    <w:rsid w:val="0011695F"/>
    <w:rsid w:val="00117C5E"/>
    <w:rsid w:val="001318FA"/>
    <w:rsid w:val="001441FE"/>
    <w:rsid w:val="00145263"/>
    <w:rsid w:val="00153499"/>
    <w:rsid w:val="0015509E"/>
    <w:rsid w:val="00162EB2"/>
    <w:rsid w:val="00163CBE"/>
    <w:rsid w:val="0016519F"/>
    <w:rsid w:val="00173E07"/>
    <w:rsid w:val="00181E7C"/>
    <w:rsid w:val="001A114F"/>
    <w:rsid w:val="001A722A"/>
    <w:rsid w:val="001B0D8C"/>
    <w:rsid w:val="001B12F1"/>
    <w:rsid w:val="001C2ED8"/>
    <w:rsid w:val="001C7D7A"/>
    <w:rsid w:val="001D0AE7"/>
    <w:rsid w:val="001D1E17"/>
    <w:rsid w:val="001D24CC"/>
    <w:rsid w:val="001D7B6D"/>
    <w:rsid w:val="001E2A3D"/>
    <w:rsid w:val="001E2AE3"/>
    <w:rsid w:val="001E4CD8"/>
    <w:rsid w:val="001F60AD"/>
    <w:rsid w:val="001F7B07"/>
    <w:rsid w:val="00201B9C"/>
    <w:rsid w:val="00203F75"/>
    <w:rsid w:val="0020748F"/>
    <w:rsid w:val="00207925"/>
    <w:rsid w:val="00210471"/>
    <w:rsid w:val="00210ABF"/>
    <w:rsid w:val="00211386"/>
    <w:rsid w:val="00216A88"/>
    <w:rsid w:val="00221131"/>
    <w:rsid w:val="00222C30"/>
    <w:rsid w:val="0022625A"/>
    <w:rsid w:val="00232046"/>
    <w:rsid w:val="00246576"/>
    <w:rsid w:val="00250B19"/>
    <w:rsid w:val="002607DB"/>
    <w:rsid w:val="002634D1"/>
    <w:rsid w:val="002764B8"/>
    <w:rsid w:val="0027654E"/>
    <w:rsid w:val="0028140D"/>
    <w:rsid w:val="00286B9E"/>
    <w:rsid w:val="00294B8C"/>
    <w:rsid w:val="002A059E"/>
    <w:rsid w:val="002A0771"/>
    <w:rsid w:val="002A0D74"/>
    <w:rsid w:val="002A2878"/>
    <w:rsid w:val="002B30C0"/>
    <w:rsid w:val="002B49BC"/>
    <w:rsid w:val="002C4C70"/>
    <w:rsid w:val="002D52F6"/>
    <w:rsid w:val="002D6CA0"/>
    <w:rsid w:val="002F2C81"/>
    <w:rsid w:val="002F4E64"/>
    <w:rsid w:val="00310EFA"/>
    <w:rsid w:val="0031424E"/>
    <w:rsid w:val="00320D53"/>
    <w:rsid w:val="003355CF"/>
    <w:rsid w:val="00340BBC"/>
    <w:rsid w:val="00344CAB"/>
    <w:rsid w:val="00350DFA"/>
    <w:rsid w:val="00364028"/>
    <w:rsid w:val="00370E75"/>
    <w:rsid w:val="00370F88"/>
    <w:rsid w:val="00374060"/>
    <w:rsid w:val="003843CF"/>
    <w:rsid w:val="003853C3"/>
    <w:rsid w:val="003854AC"/>
    <w:rsid w:val="003901C1"/>
    <w:rsid w:val="00391C3D"/>
    <w:rsid w:val="00393666"/>
    <w:rsid w:val="00394668"/>
    <w:rsid w:val="00397FE4"/>
    <w:rsid w:val="003A00CF"/>
    <w:rsid w:val="003A3DBF"/>
    <w:rsid w:val="003A6709"/>
    <w:rsid w:val="003B155A"/>
    <w:rsid w:val="003B6A0D"/>
    <w:rsid w:val="003C0CE9"/>
    <w:rsid w:val="003C1E4B"/>
    <w:rsid w:val="003C299B"/>
    <w:rsid w:val="003C5E7E"/>
    <w:rsid w:val="003D3A5A"/>
    <w:rsid w:val="003F7C55"/>
    <w:rsid w:val="003F7E62"/>
    <w:rsid w:val="0040606A"/>
    <w:rsid w:val="00411BC1"/>
    <w:rsid w:val="0041297E"/>
    <w:rsid w:val="00415537"/>
    <w:rsid w:val="00417355"/>
    <w:rsid w:val="00425652"/>
    <w:rsid w:val="00425763"/>
    <w:rsid w:val="00425BD0"/>
    <w:rsid w:val="00432A5B"/>
    <w:rsid w:val="00434897"/>
    <w:rsid w:val="00444611"/>
    <w:rsid w:val="00474733"/>
    <w:rsid w:val="00476599"/>
    <w:rsid w:val="00477E5B"/>
    <w:rsid w:val="004A0B97"/>
    <w:rsid w:val="004A4BDB"/>
    <w:rsid w:val="004A5110"/>
    <w:rsid w:val="004B6401"/>
    <w:rsid w:val="004C0597"/>
    <w:rsid w:val="004C708F"/>
    <w:rsid w:val="004C777F"/>
    <w:rsid w:val="004D1F07"/>
    <w:rsid w:val="004D2298"/>
    <w:rsid w:val="004D6AAB"/>
    <w:rsid w:val="004E19E8"/>
    <w:rsid w:val="004E489B"/>
    <w:rsid w:val="004F1AB7"/>
    <w:rsid w:val="004F32D2"/>
    <w:rsid w:val="004F53BD"/>
    <w:rsid w:val="004F55A5"/>
    <w:rsid w:val="004F7FE4"/>
    <w:rsid w:val="00507D20"/>
    <w:rsid w:val="00517DE9"/>
    <w:rsid w:val="00522EBC"/>
    <w:rsid w:val="0052572D"/>
    <w:rsid w:val="00530B06"/>
    <w:rsid w:val="00533A79"/>
    <w:rsid w:val="005441EE"/>
    <w:rsid w:val="0054479D"/>
    <w:rsid w:val="005508AA"/>
    <w:rsid w:val="00552D82"/>
    <w:rsid w:val="005550C2"/>
    <w:rsid w:val="00557E0F"/>
    <w:rsid w:val="00564289"/>
    <w:rsid w:val="00566E4C"/>
    <w:rsid w:val="00570417"/>
    <w:rsid w:val="00585ABF"/>
    <w:rsid w:val="00586476"/>
    <w:rsid w:val="00587061"/>
    <w:rsid w:val="00590B8A"/>
    <w:rsid w:val="00596912"/>
    <w:rsid w:val="005974B6"/>
    <w:rsid w:val="005977FE"/>
    <w:rsid w:val="005A5E21"/>
    <w:rsid w:val="005C1C1F"/>
    <w:rsid w:val="005C5F13"/>
    <w:rsid w:val="005C72D3"/>
    <w:rsid w:val="005D3F9B"/>
    <w:rsid w:val="005D6C9B"/>
    <w:rsid w:val="005E0DAD"/>
    <w:rsid w:val="005E324B"/>
    <w:rsid w:val="005F0FAB"/>
    <w:rsid w:val="005F2AEE"/>
    <w:rsid w:val="005F68E8"/>
    <w:rsid w:val="00602856"/>
    <w:rsid w:val="00604AE8"/>
    <w:rsid w:val="00605C55"/>
    <w:rsid w:val="006119CB"/>
    <w:rsid w:val="00615C88"/>
    <w:rsid w:val="00621204"/>
    <w:rsid w:val="00626FBB"/>
    <w:rsid w:val="00642C2C"/>
    <w:rsid w:val="00645CC9"/>
    <w:rsid w:val="00646AFE"/>
    <w:rsid w:val="0065715F"/>
    <w:rsid w:val="00664C6D"/>
    <w:rsid w:val="00667C80"/>
    <w:rsid w:val="00672D9C"/>
    <w:rsid w:val="006805F2"/>
    <w:rsid w:val="00681370"/>
    <w:rsid w:val="00692109"/>
    <w:rsid w:val="00695742"/>
    <w:rsid w:val="006A0494"/>
    <w:rsid w:val="006B1561"/>
    <w:rsid w:val="006B22F1"/>
    <w:rsid w:val="006B4738"/>
    <w:rsid w:val="006B5871"/>
    <w:rsid w:val="006B7B76"/>
    <w:rsid w:val="006C1124"/>
    <w:rsid w:val="006C19E4"/>
    <w:rsid w:val="006C2D69"/>
    <w:rsid w:val="006C66E9"/>
    <w:rsid w:val="006C7677"/>
    <w:rsid w:val="006C7690"/>
    <w:rsid w:val="006D3670"/>
    <w:rsid w:val="006E727A"/>
    <w:rsid w:val="006F525F"/>
    <w:rsid w:val="006F578B"/>
    <w:rsid w:val="00702362"/>
    <w:rsid w:val="00710CE5"/>
    <w:rsid w:val="00717819"/>
    <w:rsid w:val="007355BF"/>
    <w:rsid w:val="00737A52"/>
    <w:rsid w:val="00743831"/>
    <w:rsid w:val="00743897"/>
    <w:rsid w:val="00745232"/>
    <w:rsid w:val="00751568"/>
    <w:rsid w:val="00753AFA"/>
    <w:rsid w:val="00754F3B"/>
    <w:rsid w:val="007569E3"/>
    <w:rsid w:val="00760DD4"/>
    <w:rsid w:val="007670D5"/>
    <w:rsid w:val="00770E35"/>
    <w:rsid w:val="00776078"/>
    <w:rsid w:val="00777898"/>
    <w:rsid w:val="007819ED"/>
    <w:rsid w:val="00782205"/>
    <w:rsid w:val="00786A46"/>
    <w:rsid w:val="007A4503"/>
    <w:rsid w:val="007A4720"/>
    <w:rsid w:val="007B6F49"/>
    <w:rsid w:val="007B788F"/>
    <w:rsid w:val="007D042F"/>
    <w:rsid w:val="007E1D24"/>
    <w:rsid w:val="007F2B33"/>
    <w:rsid w:val="007F2BDA"/>
    <w:rsid w:val="007F7330"/>
    <w:rsid w:val="0080372C"/>
    <w:rsid w:val="008041DE"/>
    <w:rsid w:val="00816041"/>
    <w:rsid w:val="00832222"/>
    <w:rsid w:val="00833971"/>
    <w:rsid w:val="00840DA3"/>
    <w:rsid w:val="00860C1E"/>
    <w:rsid w:val="00862174"/>
    <w:rsid w:val="00862339"/>
    <w:rsid w:val="0087349B"/>
    <w:rsid w:val="0088730E"/>
    <w:rsid w:val="0089242B"/>
    <w:rsid w:val="008A42A1"/>
    <w:rsid w:val="008B18ED"/>
    <w:rsid w:val="008B79FA"/>
    <w:rsid w:val="008C149B"/>
    <w:rsid w:val="008C4627"/>
    <w:rsid w:val="008D4266"/>
    <w:rsid w:val="008D4C38"/>
    <w:rsid w:val="008D5E32"/>
    <w:rsid w:val="008E4FB7"/>
    <w:rsid w:val="008F084C"/>
    <w:rsid w:val="008F1375"/>
    <w:rsid w:val="008F61A0"/>
    <w:rsid w:val="008F6A52"/>
    <w:rsid w:val="008F7C20"/>
    <w:rsid w:val="00900D54"/>
    <w:rsid w:val="009155F1"/>
    <w:rsid w:val="009175FB"/>
    <w:rsid w:val="0092213C"/>
    <w:rsid w:val="00933ECA"/>
    <w:rsid w:val="009379EC"/>
    <w:rsid w:val="00942D51"/>
    <w:rsid w:val="00944B78"/>
    <w:rsid w:val="009469FA"/>
    <w:rsid w:val="009502FF"/>
    <w:rsid w:val="009531A9"/>
    <w:rsid w:val="0095352A"/>
    <w:rsid w:val="00955F98"/>
    <w:rsid w:val="00960284"/>
    <w:rsid w:val="00962CED"/>
    <w:rsid w:val="00964BD0"/>
    <w:rsid w:val="00970529"/>
    <w:rsid w:val="00981F48"/>
    <w:rsid w:val="00990455"/>
    <w:rsid w:val="00991E6D"/>
    <w:rsid w:val="0099225C"/>
    <w:rsid w:val="009A0C3F"/>
    <w:rsid w:val="009A21A8"/>
    <w:rsid w:val="009A4120"/>
    <w:rsid w:val="009B0D10"/>
    <w:rsid w:val="009B5DC8"/>
    <w:rsid w:val="009B7565"/>
    <w:rsid w:val="009C1B6B"/>
    <w:rsid w:val="009C3443"/>
    <w:rsid w:val="009C4E76"/>
    <w:rsid w:val="009D022F"/>
    <w:rsid w:val="009D02CE"/>
    <w:rsid w:val="009D15E5"/>
    <w:rsid w:val="009D471C"/>
    <w:rsid w:val="009D69A0"/>
    <w:rsid w:val="009D7A78"/>
    <w:rsid w:val="009E1909"/>
    <w:rsid w:val="009E1B72"/>
    <w:rsid w:val="009E45E1"/>
    <w:rsid w:val="009F51FA"/>
    <w:rsid w:val="00A01608"/>
    <w:rsid w:val="00A055DE"/>
    <w:rsid w:val="00A11EE1"/>
    <w:rsid w:val="00A156F3"/>
    <w:rsid w:val="00A377AC"/>
    <w:rsid w:val="00A45A78"/>
    <w:rsid w:val="00A64564"/>
    <w:rsid w:val="00A714A7"/>
    <w:rsid w:val="00A76CAD"/>
    <w:rsid w:val="00A77C21"/>
    <w:rsid w:val="00A8130D"/>
    <w:rsid w:val="00A83342"/>
    <w:rsid w:val="00A86CBE"/>
    <w:rsid w:val="00A95C3E"/>
    <w:rsid w:val="00A96946"/>
    <w:rsid w:val="00AA6993"/>
    <w:rsid w:val="00AA6D7F"/>
    <w:rsid w:val="00AA704B"/>
    <w:rsid w:val="00AC18B0"/>
    <w:rsid w:val="00AC1EAC"/>
    <w:rsid w:val="00AC4340"/>
    <w:rsid w:val="00AD4063"/>
    <w:rsid w:val="00AD63F1"/>
    <w:rsid w:val="00AD7C67"/>
    <w:rsid w:val="00AE0439"/>
    <w:rsid w:val="00AE6450"/>
    <w:rsid w:val="00B014EC"/>
    <w:rsid w:val="00B04689"/>
    <w:rsid w:val="00B04A46"/>
    <w:rsid w:val="00B15D41"/>
    <w:rsid w:val="00B21CBA"/>
    <w:rsid w:val="00B274DD"/>
    <w:rsid w:val="00B301C1"/>
    <w:rsid w:val="00B30BD3"/>
    <w:rsid w:val="00B32C2E"/>
    <w:rsid w:val="00B349A9"/>
    <w:rsid w:val="00B3765E"/>
    <w:rsid w:val="00B437BB"/>
    <w:rsid w:val="00B43D1C"/>
    <w:rsid w:val="00B53E9A"/>
    <w:rsid w:val="00B67E6A"/>
    <w:rsid w:val="00B75A1F"/>
    <w:rsid w:val="00B84B8B"/>
    <w:rsid w:val="00B93FAA"/>
    <w:rsid w:val="00B966CB"/>
    <w:rsid w:val="00BA045D"/>
    <w:rsid w:val="00BA7978"/>
    <w:rsid w:val="00BB1413"/>
    <w:rsid w:val="00BB445D"/>
    <w:rsid w:val="00BB4B5C"/>
    <w:rsid w:val="00BC5A96"/>
    <w:rsid w:val="00BD21CF"/>
    <w:rsid w:val="00BD7FD7"/>
    <w:rsid w:val="00BE1762"/>
    <w:rsid w:val="00BF0A0B"/>
    <w:rsid w:val="00BF2AF8"/>
    <w:rsid w:val="00C02372"/>
    <w:rsid w:val="00C05617"/>
    <w:rsid w:val="00C169B2"/>
    <w:rsid w:val="00C22358"/>
    <w:rsid w:val="00C301C0"/>
    <w:rsid w:val="00C30222"/>
    <w:rsid w:val="00C33C16"/>
    <w:rsid w:val="00C55705"/>
    <w:rsid w:val="00C71C61"/>
    <w:rsid w:val="00C7345D"/>
    <w:rsid w:val="00C75F1B"/>
    <w:rsid w:val="00C81E33"/>
    <w:rsid w:val="00C91CE0"/>
    <w:rsid w:val="00CA72E8"/>
    <w:rsid w:val="00CA7B78"/>
    <w:rsid w:val="00CB187A"/>
    <w:rsid w:val="00CC11DB"/>
    <w:rsid w:val="00CC2F1C"/>
    <w:rsid w:val="00CE2F0E"/>
    <w:rsid w:val="00CF1A50"/>
    <w:rsid w:val="00CF6278"/>
    <w:rsid w:val="00D03B5B"/>
    <w:rsid w:val="00D1067E"/>
    <w:rsid w:val="00D10E8F"/>
    <w:rsid w:val="00D22236"/>
    <w:rsid w:val="00D27BAA"/>
    <w:rsid w:val="00D3723E"/>
    <w:rsid w:val="00D37862"/>
    <w:rsid w:val="00D510E5"/>
    <w:rsid w:val="00D528AD"/>
    <w:rsid w:val="00D52F6E"/>
    <w:rsid w:val="00D704E4"/>
    <w:rsid w:val="00D71EF6"/>
    <w:rsid w:val="00D73A7A"/>
    <w:rsid w:val="00D80803"/>
    <w:rsid w:val="00D92F09"/>
    <w:rsid w:val="00D97E38"/>
    <w:rsid w:val="00DA1505"/>
    <w:rsid w:val="00DA4638"/>
    <w:rsid w:val="00DD1FC2"/>
    <w:rsid w:val="00DF5867"/>
    <w:rsid w:val="00E11B89"/>
    <w:rsid w:val="00E3290A"/>
    <w:rsid w:val="00E366A9"/>
    <w:rsid w:val="00E462C1"/>
    <w:rsid w:val="00E573E1"/>
    <w:rsid w:val="00E61232"/>
    <w:rsid w:val="00E617D3"/>
    <w:rsid w:val="00E70B4D"/>
    <w:rsid w:val="00E71BD2"/>
    <w:rsid w:val="00E72C89"/>
    <w:rsid w:val="00E74504"/>
    <w:rsid w:val="00E76DC3"/>
    <w:rsid w:val="00E82A9D"/>
    <w:rsid w:val="00E849A2"/>
    <w:rsid w:val="00E95976"/>
    <w:rsid w:val="00E97DFC"/>
    <w:rsid w:val="00EA58AD"/>
    <w:rsid w:val="00EA7DAC"/>
    <w:rsid w:val="00EC11F8"/>
    <w:rsid w:val="00EC5F41"/>
    <w:rsid w:val="00ED4D9C"/>
    <w:rsid w:val="00EE7627"/>
    <w:rsid w:val="00EE770B"/>
    <w:rsid w:val="00EF2C8A"/>
    <w:rsid w:val="00F066B5"/>
    <w:rsid w:val="00F119FE"/>
    <w:rsid w:val="00F31692"/>
    <w:rsid w:val="00F32662"/>
    <w:rsid w:val="00F40C0C"/>
    <w:rsid w:val="00F43CB8"/>
    <w:rsid w:val="00F47E3E"/>
    <w:rsid w:val="00F52797"/>
    <w:rsid w:val="00F550B9"/>
    <w:rsid w:val="00F55393"/>
    <w:rsid w:val="00F623C1"/>
    <w:rsid w:val="00F65123"/>
    <w:rsid w:val="00F730FA"/>
    <w:rsid w:val="00F87269"/>
    <w:rsid w:val="00F9126C"/>
    <w:rsid w:val="00F9219D"/>
    <w:rsid w:val="00FA1D6A"/>
    <w:rsid w:val="00FB0D47"/>
    <w:rsid w:val="00FB3919"/>
    <w:rsid w:val="00FB4038"/>
    <w:rsid w:val="00FC04DA"/>
    <w:rsid w:val="00FC2B21"/>
    <w:rsid w:val="00FC335D"/>
    <w:rsid w:val="00FC5EB0"/>
    <w:rsid w:val="00FD25ED"/>
    <w:rsid w:val="00FD2A6E"/>
    <w:rsid w:val="00FD2C11"/>
    <w:rsid w:val="00FD2FC9"/>
    <w:rsid w:val="00FD5D94"/>
    <w:rsid w:val="00FE4E34"/>
    <w:rsid w:val="00FF6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07B45"/>
  <w15:docId w15:val="{3B7ED8CF-3FEF-F44C-A1A8-D33D2B79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E4"/>
    <w:rPr>
      <w:rFonts w:ascii="Times New Roman" w:eastAsia="Times New Roman" w:hAnsi="Times New Roman"/>
      <w:sz w:val="24"/>
      <w:szCs w:val="24"/>
    </w:rPr>
  </w:style>
  <w:style w:type="paragraph" w:styleId="Heading5">
    <w:name w:val="heading 5"/>
    <w:basedOn w:val="Normal"/>
    <w:link w:val="Heading5Char"/>
    <w:uiPriority w:val="9"/>
    <w:qFormat/>
    <w:rsid w:val="00F87269"/>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5867"/>
    <w:pPr>
      <w:spacing w:before="100" w:beforeAutospacing="1" w:after="100" w:afterAutospacing="1"/>
    </w:pPr>
  </w:style>
  <w:style w:type="character" w:styleId="Hyperlink">
    <w:name w:val="Hyperlink"/>
    <w:uiPriority w:val="99"/>
    <w:unhideWhenUsed/>
    <w:rsid w:val="00DF5867"/>
    <w:rPr>
      <w:color w:val="0563C1"/>
      <w:u w:val="single"/>
    </w:rPr>
  </w:style>
  <w:style w:type="character" w:styleId="UnresolvedMention">
    <w:name w:val="Unresolved Mention"/>
    <w:uiPriority w:val="99"/>
    <w:semiHidden/>
    <w:unhideWhenUsed/>
    <w:rsid w:val="00DF5867"/>
    <w:rPr>
      <w:color w:val="605E5C"/>
      <w:shd w:val="clear" w:color="auto" w:fill="E1DFDD"/>
    </w:rPr>
  </w:style>
  <w:style w:type="paragraph" w:styleId="Header">
    <w:name w:val="header"/>
    <w:basedOn w:val="Normal"/>
    <w:link w:val="HeaderChar"/>
    <w:uiPriority w:val="99"/>
    <w:unhideWhenUsed/>
    <w:rsid w:val="00DF5867"/>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sid w:val="00DF5867"/>
  </w:style>
  <w:style w:type="paragraph" w:styleId="Footer">
    <w:name w:val="footer"/>
    <w:basedOn w:val="Normal"/>
    <w:link w:val="FooterChar"/>
    <w:uiPriority w:val="99"/>
    <w:unhideWhenUsed/>
    <w:rsid w:val="00DF5867"/>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sid w:val="00DF5867"/>
  </w:style>
  <w:style w:type="table" w:styleId="TableGrid">
    <w:name w:val="Table Grid"/>
    <w:basedOn w:val="TableNormal"/>
    <w:uiPriority w:val="39"/>
    <w:rsid w:val="00DF586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5867"/>
    <w:rPr>
      <w:rFonts w:eastAsia="Calibri"/>
      <w:sz w:val="18"/>
      <w:szCs w:val="18"/>
    </w:rPr>
  </w:style>
  <w:style w:type="character" w:customStyle="1" w:styleId="BalloonTextChar">
    <w:name w:val="Balloon Text Char"/>
    <w:link w:val="BalloonText"/>
    <w:uiPriority w:val="99"/>
    <w:semiHidden/>
    <w:rsid w:val="00DF5867"/>
    <w:rPr>
      <w:rFonts w:ascii="Times New Roman" w:hAnsi="Times New Roman" w:cs="Times New Roman"/>
      <w:sz w:val="18"/>
      <w:szCs w:val="18"/>
    </w:rPr>
  </w:style>
  <w:style w:type="paragraph" w:customStyle="1" w:styleId="Normal1">
    <w:name w:val="Normal1"/>
    <w:rsid w:val="00DF5867"/>
    <w:pPr>
      <w:spacing w:line="276" w:lineRule="auto"/>
    </w:pPr>
    <w:rPr>
      <w:rFonts w:ascii="Arial" w:eastAsia="Arial" w:hAnsi="Arial" w:cs="Arial"/>
      <w:color w:val="000000"/>
      <w:sz w:val="22"/>
      <w:szCs w:val="22"/>
    </w:rPr>
  </w:style>
  <w:style w:type="character" w:styleId="CommentReference">
    <w:name w:val="annotation reference"/>
    <w:uiPriority w:val="99"/>
    <w:semiHidden/>
    <w:unhideWhenUsed/>
    <w:rsid w:val="00CF6278"/>
    <w:rPr>
      <w:sz w:val="16"/>
      <w:szCs w:val="16"/>
    </w:rPr>
  </w:style>
  <w:style w:type="paragraph" w:styleId="CommentText">
    <w:name w:val="annotation text"/>
    <w:basedOn w:val="Normal"/>
    <w:link w:val="CommentTextChar"/>
    <w:uiPriority w:val="99"/>
    <w:unhideWhenUsed/>
    <w:rsid w:val="00CF6278"/>
    <w:rPr>
      <w:rFonts w:ascii="Calibri" w:eastAsia="Calibri" w:hAnsi="Calibri"/>
      <w:sz w:val="20"/>
      <w:szCs w:val="20"/>
    </w:rPr>
  </w:style>
  <w:style w:type="character" w:customStyle="1" w:styleId="CommentTextChar">
    <w:name w:val="Comment Text Char"/>
    <w:link w:val="CommentText"/>
    <w:uiPriority w:val="99"/>
    <w:rsid w:val="00CF6278"/>
    <w:rPr>
      <w:sz w:val="20"/>
      <w:szCs w:val="20"/>
    </w:rPr>
  </w:style>
  <w:style w:type="paragraph" w:styleId="CommentSubject">
    <w:name w:val="annotation subject"/>
    <w:basedOn w:val="CommentText"/>
    <w:next w:val="CommentText"/>
    <w:link w:val="CommentSubjectChar"/>
    <w:uiPriority w:val="99"/>
    <w:semiHidden/>
    <w:unhideWhenUsed/>
    <w:rsid w:val="00CF6278"/>
    <w:rPr>
      <w:b/>
      <w:bCs/>
    </w:rPr>
  </w:style>
  <w:style w:type="character" w:customStyle="1" w:styleId="CommentSubjectChar">
    <w:name w:val="Comment Subject Char"/>
    <w:link w:val="CommentSubject"/>
    <w:uiPriority w:val="99"/>
    <w:semiHidden/>
    <w:rsid w:val="00CF6278"/>
    <w:rPr>
      <w:b/>
      <w:bCs/>
      <w:sz w:val="20"/>
      <w:szCs w:val="20"/>
    </w:rPr>
  </w:style>
  <w:style w:type="paragraph" w:styleId="Revision">
    <w:name w:val="Revision"/>
    <w:hidden/>
    <w:uiPriority w:val="99"/>
    <w:semiHidden/>
    <w:rsid w:val="00066FBC"/>
    <w:rPr>
      <w:sz w:val="24"/>
      <w:szCs w:val="24"/>
    </w:rPr>
  </w:style>
  <w:style w:type="character" w:styleId="Strong">
    <w:name w:val="Strong"/>
    <w:uiPriority w:val="22"/>
    <w:qFormat/>
    <w:rsid w:val="00E97DFC"/>
    <w:rPr>
      <w:b/>
      <w:bCs/>
    </w:rPr>
  </w:style>
  <w:style w:type="character" w:styleId="FollowedHyperlink">
    <w:name w:val="FollowedHyperlink"/>
    <w:uiPriority w:val="99"/>
    <w:semiHidden/>
    <w:unhideWhenUsed/>
    <w:rsid w:val="00092055"/>
    <w:rPr>
      <w:color w:val="954F72"/>
      <w:u w:val="single"/>
    </w:rPr>
  </w:style>
  <w:style w:type="character" w:styleId="Emphasis">
    <w:name w:val="Emphasis"/>
    <w:uiPriority w:val="20"/>
    <w:qFormat/>
    <w:rsid w:val="00CA72E8"/>
    <w:rPr>
      <w:i/>
      <w:iCs/>
    </w:rPr>
  </w:style>
  <w:style w:type="paragraph" w:styleId="ListParagraph">
    <w:name w:val="List Paragraph"/>
    <w:basedOn w:val="Normal"/>
    <w:uiPriority w:val="34"/>
    <w:qFormat/>
    <w:rsid w:val="00970529"/>
    <w:pPr>
      <w:ind w:left="720"/>
      <w:contextualSpacing/>
    </w:pPr>
  </w:style>
  <w:style w:type="paragraph" w:customStyle="1" w:styleId="font8">
    <w:name w:val="font_8"/>
    <w:basedOn w:val="Normal"/>
    <w:rsid w:val="0011695F"/>
    <w:pPr>
      <w:spacing w:before="100" w:beforeAutospacing="1" w:after="100" w:afterAutospacing="1"/>
    </w:pPr>
  </w:style>
  <w:style w:type="character" w:customStyle="1" w:styleId="markedcontent">
    <w:name w:val="markedcontent"/>
    <w:basedOn w:val="DefaultParagraphFont"/>
    <w:rsid w:val="00692109"/>
  </w:style>
  <w:style w:type="character" w:customStyle="1" w:styleId="Heading5Char">
    <w:name w:val="Heading 5 Char"/>
    <w:basedOn w:val="DefaultParagraphFont"/>
    <w:link w:val="Heading5"/>
    <w:uiPriority w:val="9"/>
    <w:rsid w:val="00F87269"/>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6195">
      <w:bodyDiv w:val="1"/>
      <w:marLeft w:val="0"/>
      <w:marRight w:val="0"/>
      <w:marTop w:val="0"/>
      <w:marBottom w:val="0"/>
      <w:divBdr>
        <w:top w:val="none" w:sz="0" w:space="0" w:color="auto"/>
        <w:left w:val="none" w:sz="0" w:space="0" w:color="auto"/>
        <w:bottom w:val="none" w:sz="0" w:space="0" w:color="auto"/>
        <w:right w:val="none" w:sz="0" w:space="0" w:color="auto"/>
      </w:divBdr>
    </w:div>
    <w:div w:id="97801627">
      <w:bodyDiv w:val="1"/>
      <w:marLeft w:val="0"/>
      <w:marRight w:val="0"/>
      <w:marTop w:val="0"/>
      <w:marBottom w:val="0"/>
      <w:divBdr>
        <w:top w:val="none" w:sz="0" w:space="0" w:color="auto"/>
        <w:left w:val="none" w:sz="0" w:space="0" w:color="auto"/>
        <w:bottom w:val="none" w:sz="0" w:space="0" w:color="auto"/>
        <w:right w:val="none" w:sz="0" w:space="0" w:color="auto"/>
      </w:divBdr>
    </w:div>
    <w:div w:id="242419936">
      <w:bodyDiv w:val="1"/>
      <w:marLeft w:val="0"/>
      <w:marRight w:val="0"/>
      <w:marTop w:val="0"/>
      <w:marBottom w:val="0"/>
      <w:divBdr>
        <w:top w:val="none" w:sz="0" w:space="0" w:color="auto"/>
        <w:left w:val="none" w:sz="0" w:space="0" w:color="auto"/>
        <w:bottom w:val="none" w:sz="0" w:space="0" w:color="auto"/>
        <w:right w:val="none" w:sz="0" w:space="0" w:color="auto"/>
      </w:divBdr>
    </w:div>
    <w:div w:id="270283408">
      <w:bodyDiv w:val="1"/>
      <w:marLeft w:val="0"/>
      <w:marRight w:val="0"/>
      <w:marTop w:val="0"/>
      <w:marBottom w:val="0"/>
      <w:divBdr>
        <w:top w:val="none" w:sz="0" w:space="0" w:color="auto"/>
        <w:left w:val="none" w:sz="0" w:space="0" w:color="auto"/>
        <w:bottom w:val="none" w:sz="0" w:space="0" w:color="auto"/>
        <w:right w:val="none" w:sz="0" w:space="0" w:color="auto"/>
      </w:divBdr>
    </w:div>
    <w:div w:id="275138558">
      <w:bodyDiv w:val="1"/>
      <w:marLeft w:val="0"/>
      <w:marRight w:val="0"/>
      <w:marTop w:val="0"/>
      <w:marBottom w:val="0"/>
      <w:divBdr>
        <w:top w:val="none" w:sz="0" w:space="0" w:color="auto"/>
        <w:left w:val="none" w:sz="0" w:space="0" w:color="auto"/>
        <w:bottom w:val="none" w:sz="0" w:space="0" w:color="auto"/>
        <w:right w:val="none" w:sz="0" w:space="0" w:color="auto"/>
      </w:divBdr>
      <w:divsChild>
        <w:div w:id="1650473198">
          <w:marLeft w:val="0"/>
          <w:marRight w:val="0"/>
          <w:marTop w:val="0"/>
          <w:marBottom w:val="0"/>
          <w:divBdr>
            <w:top w:val="none" w:sz="0" w:space="0" w:color="auto"/>
            <w:left w:val="none" w:sz="0" w:space="0" w:color="auto"/>
            <w:bottom w:val="none" w:sz="0" w:space="0" w:color="auto"/>
            <w:right w:val="none" w:sz="0" w:space="0" w:color="auto"/>
          </w:divBdr>
          <w:divsChild>
            <w:div w:id="575824585">
              <w:marLeft w:val="0"/>
              <w:marRight w:val="0"/>
              <w:marTop w:val="0"/>
              <w:marBottom w:val="0"/>
              <w:divBdr>
                <w:top w:val="none" w:sz="0" w:space="0" w:color="auto"/>
                <w:left w:val="none" w:sz="0" w:space="0" w:color="auto"/>
                <w:bottom w:val="none" w:sz="0" w:space="0" w:color="auto"/>
                <w:right w:val="none" w:sz="0" w:space="0" w:color="auto"/>
              </w:divBdr>
              <w:divsChild>
                <w:div w:id="422145863">
                  <w:marLeft w:val="0"/>
                  <w:marRight w:val="0"/>
                  <w:marTop w:val="0"/>
                  <w:marBottom w:val="0"/>
                  <w:divBdr>
                    <w:top w:val="none" w:sz="0" w:space="0" w:color="auto"/>
                    <w:left w:val="none" w:sz="0" w:space="0" w:color="auto"/>
                    <w:bottom w:val="none" w:sz="0" w:space="0" w:color="auto"/>
                    <w:right w:val="none" w:sz="0" w:space="0" w:color="auto"/>
                  </w:divBdr>
                  <w:divsChild>
                    <w:div w:id="1107308034">
                      <w:marLeft w:val="0"/>
                      <w:marRight w:val="0"/>
                      <w:marTop w:val="0"/>
                      <w:marBottom w:val="0"/>
                      <w:divBdr>
                        <w:top w:val="none" w:sz="0" w:space="0" w:color="auto"/>
                        <w:left w:val="none" w:sz="0" w:space="0" w:color="auto"/>
                        <w:bottom w:val="none" w:sz="0" w:space="0" w:color="auto"/>
                        <w:right w:val="none" w:sz="0" w:space="0" w:color="auto"/>
                      </w:divBdr>
                      <w:divsChild>
                        <w:div w:id="408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957806">
      <w:bodyDiv w:val="1"/>
      <w:marLeft w:val="0"/>
      <w:marRight w:val="0"/>
      <w:marTop w:val="0"/>
      <w:marBottom w:val="0"/>
      <w:divBdr>
        <w:top w:val="none" w:sz="0" w:space="0" w:color="auto"/>
        <w:left w:val="none" w:sz="0" w:space="0" w:color="auto"/>
        <w:bottom w:val="none" w:sz="0" w:space="0" w:color="auto"/>
        <w:right w:val="none" w:sz="0" w:space="0" w:color="auto"/>
      </w:divBdr>
    </w:div>
    <w:div w:id="398752966">
      <w:bodyDiv w:val="1"/>
      <w:marLeft w:val="0"/>
      <w:marRight w:val="0"/>
      <w:marTop w:val="0"/>
      <w:marBottom w:val="0"/>
      <w:divBdr>
        <w:top w:val="none" w:sz="0" w:space="0" w:color="auto"/>
        <w:left w:val="none" w:sz="0" w:space="0" w:color="auto"/>
        <w:bottom w:val="none" w:sz="0" w:space="0" w:color="auto"/>
        <w:right w:val="none" w:sz="0" w:space="0" w:color="auto"/>
      </w:divBdr>
    </w:div>
    <w:div w:id="449126742">
      <w:bodyDiv w:val="1"/>
      <w:marLeft w:val="0"/>
      <w:marRight w:val="0"/>
      <w:marTop w:val="0"/>
      <w:marBottom w:val="0"/>
      <w:divBdr>
        <w:top w:val="none" w:sz="0" w:space="0" w:color="auto"/>
        <w:left w:val="none" w:sz="0" w:space="0" w:color="auto"/>
        <w:bottom w:val="none" w:sz="0" w:space="0" w:color="auto"/>
        <w:right w:val="none" w:sz="0" w:space="0" w:color="auto"/>
      </w:divBdr>
    </w:div>
    <w:div w:id="472871382">
      <w:bodyDiv w:val="1"/>
      <w:marLeft w:val="0"/>
      <w:marRight w:val="0"/>
      <w:marTop w:val="0"/>
      <w:marBottom w:val="0"/>
      <w:divBdr>
        <w:top w:val="none" w:sz="0" w:space="0" w:color="auto"/>
        <w:left w:val="none" w:sz="0" w:space="0" w:color="auto"/>
        <w:bottom w:val="none" w:sz="0" w:space="0" w:color="auto"/>
        <w:right w:val="none" w:sz="0" w:space="0" w:color="auto"/>
      </w:divBdr>
    </w:div>
    <w:div w:id="481775783">
      <w:bodyDiv w:val="1"/>
      <w:marLeft w:val="0"/>
      <w:marRight w:val="0"/>
      <w:marTop w:val="0"/>
      <w:marBottom w:val="0"/>
      <w:divBdr>
        <w:top w:val="none" w:sz="0" w:space="0" w:color="auto"/>
        <w:left w:val="none" w:sz="0" w:space="0" w:color="auto"/>
        <w:bottom w:val="none" w:sz="0" w:space="0" w:color="auto"/>
        <w:right w:val="none" w:sz="0" w:space="0" w:color="auto"/>
      </w:divBdr>
    </w:div>
    <w:div w:id="494999789">
      <w:bodyDiv w:val="1"/>
      <w:marLeft w:val="0"/>
      <w:marRight w:val="0"/>
      <w:marTop w:val="0"/>
      <w:marBottom w:val="0"/>
      <w:divBdr>
        <w:top w:val="none" w:sz="0" w:space="0" w:color="auto"/>
        <w:left w:val="none" w:sz="0" w:space="0" w:color="auto"/>
        <w:bottom w:val="none" w:sz="0" w:space="0" w:color="auto"/>
        <w:right w:val="none" w:sz="0" w:space="0" w:color="auto"/>
      </w:divBdr>
    </w:div>
    <w:div w:id="606036936">
      <w:bodyDiv w:val="1"/>
      <w:marLeft w:val="0"/>
      <w:marRight w:val="0"/>
      <w:marTop w:val="0"/>
      <w:marBottom w:val="0"/>
      <w:divBdr>
        <w:top w:val="none" w:sz="0" w:space="0" w:color="auto"/>
        <w:left w:val="none" w:sz="0" w:space="0" w:color="auto"/>
        <w:bottom w:val="none" w:sz="0" w:space="0" w:color="auto"/>
        <w:right w:val="none" w:sz="0" w:space="0" w:color="auto"/>
      </w:divBdr>
    </w:div>
    <w:div w:id="904949818">
      <w:bodyDiv w:val="1"/>
      <w:marLeft w:val="0"/>
      <w:marRight w:val="0"/>
      <w:marTop w:val="0"/>
      <w:marBottom w:val="0"/>
      <w:divBdr>
        <w:top w:val="none" w:sz="0" w:space="0" w:color="auto"/>
        <w:left w:val="none" w:sz="0" w:space="0" w:color="auto"/>
        <w:bottom w:val="none" w:sz="0" w:space="0" w:color="auto"/>
        <w:right w:val="none" w:sz="0" w:space="0" w:color="auto"/>
      </w:divBdr>
    </w:div>
    <w:div w:id="953947779">
      <w:bodyDiv w:val="1"/>
      <w:marLeft w:val="0"/>
      <w:marRight w:val="0"/>
      <w:marTop w:val="0"/>
      <w:marBottom w:val="0"/>
      <w:divBdr>
        <w:top w:val="none" w:sz="0" w:space="0" w:color="auto"/>
        <w:left w:val="none" w:sz="0" w:space="0" w:color="auto"/>
        <w:bottom w:val="none" w:sz="0" w:space="0" w:color="auto"/>
        <w:right w:val="none" w:sz="0" w:space="0" w:color="auto"/>
      </w:divBdr>
    </w:div>
    <w:div w:id="1038235660">
      <w:bodyDiv w:val="1"/>
      <w:marLeft w:val="0"/>
      <w:marRight w:val="0"/>
      <w:marTop w:val="0"/>
      <w:marBottom w:val="0"/>
      <w:divBdr>
        <w:top w:val="none" w:sz="0" w:space="0" w:color="auto"/>
        <w:left w:val="none" w:sz="0" w:space="0" w:color="auto"/>
        <w:bottom w:val="none" w:sz="0" w:space="0" w:color="auto"/>
        <w:right w:val="none" w:sz="0" w:space="0" w:color="auto"/>
      </w:divBdr>
    </w:div>
    <w:div w:id="1075011368">
      <w:bodyDiv w:val="1"/>
      <w:marLeft w:val="0"/>
      <w:marRight w:val="0"/>
      <w:marTop w:val="0"/>
      <w:marBottom w:val="0"/>
      <w:divBdr>
        <w:top w:val="none" w:sz="0" w:space="0" w:color="auto"/>
        <w:left w:val="none" w:sz="0" w:space="0" w:color="auto"/>
        <w:bottom w:val="none" w:sz="0" w:space="0" w:color="auto"/>
        <w:right w:val="none" w:sz="0" w:space="0" w:color="auto"/>
      </w:divBdr>
      <w:divsChild>
        <w:div w:id="76022455">
          <w:marLeft w:val="0"/>
          <w:marRight w:val="0"/>
          <w:marTop w:val="0"/>
          <w:marBottom w:val="0"/>
          <w:divBdr>
            <w:top w:val="none" w:sz="0" w:space="0" w:color="auto"/>
            <w:left w:val="none" w:sz="0" w:space="0" w:color="auto"/>
            <w:bottom w:val="none" w:sz="0" w:space="0" w:color="auto"/>
            <w:right w:val="none" w:sz="0" w:space="0" w:color="auto"/>
          </w:divBdr>
        </w:div>
      </w:divsChild>
    </w:div>
    <w:div w:id="1093471624">
      <w:bodyDiv w:val="1"/>
      <w:marLeft w:val="0"/>
      <w:marRight w:val="0"/>
      <w:marTop w:val="0"/>
      <w:marBottom w:val="0"/>
      <w:divBdr>
        <w:top w:val="none" w:sz="0" w:space="0" w:color="auto"/>
        <w:left w:val="none" w:sz="0" w:space="0" w:color="auto"/>
        <w:bottom w:val="none" w:sz="0" w:space="0" w:color="auto"/>
        <w:right w:val="none" w:sz="0" w:space="0" w:color="auto"/>
      </w:divBdr>
    </w:div>
    <w:div w:id="1168864151">
      <w:bodyDiv w:val="1"/>
      <w:marLeft w:val="0"/>
      <w:marRight w:val="0"/>
      <w:marTop w:val="0"/>
      <w:marBottom w:val="0"/>
      <w:divBdr>
        <w:top w:val="none" w:sz="0" w:space="0" w:color="auto"/>
        <w:left w:val="none" w:sz="0" w:space="0" w:color="auto"/>
        <w:bottom w:val="none" w:sz="0" w:space="0" w:color="auto"/>
        <w:right w:val="none" w:sz="0" w:space="0" w:color="auto"/>
      </w:divBdr>
    </w:div>
    <w:div w:id="1334601990">
      <w:bodyDiv w:val="1"/>
      <w:marLeft w:val="0"/>
      <w:marRight w:val="0"/>
      <w:marTop w:val="0"/>
      <w:marBottom w:val="0"/>
      <w:divBdr>
        <w:top w:val="none" w:sz="0" w:space="0" w:color="auto"/>
        <w:left w:val="none" w:sz="0" w:space="0" w:color="auto"/>
        <w:bottom w:val="none" w:sz="0" w:space="0" w:color="auto"/>
        <w:right w:val="none" w:sz="0" w:space="0" w:color="auto"/>
      </w:divBdr>
    </w:div>
    <w:div w:id="1404718580">
      <w:bodyDiv w:val="1"/>
      <w:marLeft w:val="0"/>
      <w:marRight w:val="0"/>
      <w:marTop w:val="0"/>
      <w:marBottom w:val="0"/>
      <w:divBdr>
        <w:top w:val="none" w:sz="0" w:space="0" w:color="auto"/>
        <w:left w:val="none" w:sz="0" w:space="0" w:color="auto"/>
        <w:bottom w:val="none" w:sz="0" w:space="0" w:color="auto"/>
        <w:right w:val="none" w:sz="0" w:space="0" w:color="auto"/>
      </w:divBdr>
    </w:div>
    <w:div w:id="1496722581">
      <w:bodyDiv w:val="1"/>
      <w:marLeft w:val="0"/>
      <w:marRight w:val="0"/>
      <w:marTop w:val="0"/>
      <w:marBottom w:val="0"/>
      <w:divBdr>
        <w:top w:val="none" w:sz="0" w:space="0" w:color="auto"/>
        <w:left w:val="none" w:sz="0" w:space="0" w:color="auto"/>
        <w:bottom w:val="none" w:sz="0" w:space="0" w:color="auto"/>
        <w:right w:val="none" w:sz="0" w:space="0" w:color="auto"/>
      </w:divBdr>
    </w:div>
    <w:div w:id="1554852902">
      <w:bodyDiv w:val="1"/>
      <w:marLeft w:val="0"/>
      <w:marRight w:val="0"/>
      <w:marTop w:val="0"/>
      <w:marBottom w:val="0"/>
      <w:divBdr>
        <w:top w:val="none" w:sz="0" w:space="0" w:color="auto"/>
        <w:left w:val="none" w:sz="0" w:space="0" w:color="auto"/>
        <w:bottom w:val="none" w:sz="0" w:space="0" w:color="auto"/>
        <w:right w:val="none" w:sz="0" w:space="0" w:color="auto"/>
      </w:divBdr>
    </w:div>
    <w:div w:id="1627857930">
      <w:bodyDiv w:val="1"/>
      <w:marLeft w:val="0"/>
      <w:marRight w:val="0"/>
      <w:marTop w:val="0"/>
      <w:marBottom w:val="0"/>
      <w:divBdr>
        <w:top w:val="none" w:sz="0" w:space="0" w:color="auto"/>
        <w:left w:val="none" w:sz="0" w:space="0" w:color="auto"/>
        <w:bottom w:val="none" w:sz="0" w:space="0" w:color="auto"/>
        <w:right w:val="none" w:sz="0" w:space="0" w:color="auto"/>
      </w:divBdr>
    </w:div>
    <w:div w:id="1667202440">
      <w:bodyDiv w:val="1"/>
      <w:marLeft w:val="0"/>
      <w:marRight w:val="0"/>
      <w:marTop w:val="0"/>
      <w:marBottom w:val="0"/>
      <w:divBdr>
        <w:top w:val="none" w:sz="0" w:space="0" w:color="auto"/>
        <w:left w:val="none" w:sz="0" w:space="0" w:color="auto"/>
        <w:bottom w:val="none" w:sz="0" w:space="0" w:color="auto"/>
        <w:right w:val="none" w:sz="0" w:space="0" w:color="auto"/>
      </w:divBdr>
    </w:div>
    <w:div w:id="1685935178">
      <w:bodyDiv w:val="1"/>
      <w:marLeft w:val="0"/>
      <w:marRight w:val="0"/>
      <w:marTop w:val="0"/>
      <w:marBottom w:val="0"/>
      <w:divBdr>
        <w:top w:val="none" w:sz="0" w:space="0" w:color="auto"/>
        <w:left w:val="none" w:sz="0" w:space="0" w:color="auto"/>
        <w:bottom w:val="none" w:sz="0" w:space="0" w:color="auto"/>
        <w:right w:val="none" w:sz="0" w:space="0" w:color="auto"/>
      </w:divBdr>
    </w:div>
    <w:div w:id="2063794806">
      <w:bodyDiv w:val="1"/>
      <w:marLeft w:val="0"/>
      <w:marRight w:val="0"/>
      <w:marTop w:val="0"/>
      <w:marBottom w:val="0"/>
      <w:divBdr>
        <w:top w:val="none" w:sz="0" w:space="0" w:color="auto"/>
        <w:left w:val="none" w:sz="0" w:space="0" w:color="auto"/>
        <w:bottom w:val="none" w:sz="0" w:space="0" w:color="auto"/>
        <w:right w:val="none" w:sz="0" w:space="0" w:color="auto"/>
      </w:divBdr>
    </w:div>
    <w:div w:id="2089420665">
      <w:bodyDiv w:val="1"/>
      <w:marLeft w:val="0"/>
      <w:marRight w:val="0"/>
      <w:marTop w:val="0"/>
      <w:marBottom w:val="0"/>
      <w:divBdr>
        <w:top w:val="none" w:sz="0" w:space="0" w:color="auto"/>
        <w:left w:val="none" w:sz="0" w:space="0" w:color="auto"/>
        <w:bottom w:val="none" w:sz="0" w:space="0" w:color="auto"/>
        <w:right w:val="none" w:sz="0" w:space="0" w:color="auto"/>
      </w:divBdr>
    </w:div>
    <w:div w:id="2121219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ecf.org/resources/2026-kids-count-data-boo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ecf.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fcp.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ecf.org/resources/the-new-kids-count-index-methodology" TargetMode="External"/><Relationship Id="rId4" Type="http://schemas.openxmlformats.org/officeDocument/2006/relationships/settings" Target="settings.xml"/><Relationship Id="rId9" Type="http://schemas.openxmlformats.org/officeDocument/2006/relationships/hyperlink" Target="http://datacenter.kidscount.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2D577-9355-0F4E-A810-9F86C7627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2224</Words>
  <Characters>11988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14151</CharactersWithSpaces>
  <SharedDoc>false</SharedDoc>
  <HLinks>
    <vt:vector size="42" baseType="variant">
      <vt:variant>
        <vt:i4>5898331</vt:i4>
      </vt:variant>
      <vt:variant>
        <vt:i4>15</vt:i4>
      </vt:variant>
      <vt:variant>
        <vt:i4>0</vt:i4>
      </vt:variant>
      <vt:variant>
        <vt:i4>5</vt:i4>
      </vt:variant>
      <vt:variant>
        <vt:lpwstr>http://www.aecf.org/</vt:lpwstr>
      </vt:variant>
      <vt:variant>
        <vt:lpwstr/>
      </vt:variant>
      <vt:variant>
        <vt:i4>6291513</vt:i4>
      </vt:variant>
      <vt:variant>
        <vt:i4>12</vt:i4>
      </vt:variant>
      <vt:variant>
        <vt:i4>0</vt:i4>
      </vt:variant>
      <vt:variant>
        <vt:i4>5</vt:i4>
      </vt:variant>
      <vt:variant>
        <vt:lpwstr>https://gafcp.org/</vt:lpwstr>
      </vt:variant>
      <vt:variant>
        <vt:lpwstr/>
      </vt:variant>
      <vt:variant>
        <vt:i4>1376271</vt:i4>
      </vt:variant>
      <vt:variant>
        <vt:i4>9</vt:i4>
      </vt:variant>
      <vt:variant>
        <vt:i4>0</vt:i4>
      </vt:variant>
      <vt:variant>
        <vt:i4>5</vt:i4>
      </vt:variant>
      <vt:variant>
        <vt:lpwstr>http://datacenter.kidscount.org/</vt:lpwstr>
      </vt:variant>
      <vt:variant>
        <vt:lpwstr/>
      </vt:variant>
      <vt:variant>
        <vt:i4>6160415</vt:i4>
      </vt:variant>
      <vt:variant>
        <vt:i4>6</vt:i4>
      </vt:variant>
      <vt:variant>
        <vt:i4>0</vt:i4>
      </vt:variant>
      <vt:variant>
        <vt:i4>5</vt:i4>
      </vt:variant>
      <vt:variant>
        <vt:lpwstr>http://aecf.org/databook</vt:lpwstr>
      </vt:variant>
      <vt:variant>
        <vt:lpwstr/>
      </vt:variant>
      <vt:variant>
        <vt:i4>589879</vt:i4>
      </vt:variant>
      <vt:variant>
        <vt:i4>3</vt:i4>
      </vt:variant>
      <vt:variant>
        <vt:i4>0</vt:i4>
      </vt:variant>
      <vt:variant>
        <vt:i4>5</vt:i4>
      </vt:variant>
      <vt:variant>
        <vt:lpwstr>mailto:rebecca@gafcp.org</vt:lpwstr>
      </vt:variant>
      <vt:variant>
        <vt:lpwstr/>
      </vt:variant>
      <vt:variant>
        <vt:i4>2818174</vt:i4>
      </vt:variant>
      <vt:variant>
        <vt:i4>0</vt:i4>
      </vt:variant>
      <vt:variant>
        <vt:i4>0</vt:i4>
      </vt:variant>
      <vt:variant>
        <vt:i4>5</vt:i4>
      </vt:variant>
      <vt:variant>
        <vt:lpwstr>https://www.census.gov/data-tools/demo/hhp/</vt:lpwstr>
      </vt:variant>
      <vt:variant>
        <vt:lpwstr>/?measures=EMR&amp;s_metro=&amp;mapAreaSelector=st&amp;s_state=00013</vt:lpwstr>
      </vt:variant>
      <vt:variant>
        <vt:i4>262192</vt:i4>
      </vt:variant>
      <vt:variant>
        <vt:i4>0</vt:i4>
      </vt:variant>
      <vt:variant>
        <vt:i4>0</vt:i4>
      </vt:variant>
      <vt:variant>
        <vt:i4>5</vt:i4>
      </vt:variant>
      <vt:variant>
        <vt:lpwstr>mailto:william@gafcp.org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Rice</dc:creator>
  <cp:keywords/>
  <dc:description/>
  <cp:lastModifiedBy>William Valladares</cp:lastModifiedBy>
  <cp:revision>2</cp:revision>
  <cp:lastPrinted>2019-06-17T11:08:00Z</cp:lastPrinted>
  <dcterms:created xsi:type="dcterms:W3CDTF">2026-06-08T11:55:00Z</dcterms:created>
  <dcterms:modified xsi:type="dcterms:W3CDTF">2026-06-08T11:55:00Z</dcterms:modified>
</cp:coreProperties>
</file>