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AE2A" w14:textId="77777777" w:rsidR="002804BC" w:rsidRDefault="002804BC" w:rsidP="00BE5AC3">
      <w:pPr>
        <w:jc w:val="right"/>
        <w:rPr>
          <w:rFonts w:ascii="Arial" w:hAnsi="Arial" w:cs="Arial"/>
          <w:sz w:val="20"/>
          <w:szCs w:val="20"/>
        </w:rPr>
      </w:pPr>
    </w:p>
    <w:p w14:paraId="75838D1E" w14:textId="12A0AB48" w:rsidR="00BE5AC3" w:rsidRPr="002804BC" w:rsidRDefault="00BE5AC3" w:rsidP="00BE5AC3">
      <w:pPr>
        <w:jc w:val="right"/>
        <w:rPr>
          <w:rFonts w:ascii="Arial" w:hAnsi="Arial" w:cs="Arial"/>
          <w:sz w:val="18"/>
          <w:szCs w:val="18"/>
        </w:rPr>
      </w:pPr>
      <w:r w:rsidRPr="002804BC">
        <w:rPr>
          <w:rFonts w:ascii="Arial" w:hAnsi="Arial" w:cs="Arial"/>
          <w:sz w:val="18"/>
          <w:szCs w:val="18"/>
        </w:rPr>
        <w:t>Contact: Bill Valladares</w:t>
      </w:r>
    </w:p>
    <w:p w14:paraId="52C9A8BD" w14:textId="77777777" w:rsidR="00BE5AC3" w:rsidRPr="002804BC" w:rsidRDefault="00BE5AC3" w:rsidP="00BE5AC3">
      <w:pPr>
        <w:jc w:val="right"/>
        <w:rPr>
          <w:rFonts w:ascii="Arial" w:hAnsi="Arial" w:cs="Arial"/>
          <w:sz w:val="18"/>
          <w:szCs w:val="18"/>
        </w:rPr>
      </w:pPr>
      <w:r w:rsidRPr="002804BC">
        <w:rPr>
          <w:rFonts w:ascii="Arial" w:hAnsi="Arial" w:cs="Arial"/>
          <w:sz w:val="18"/>
          <w:szCs w:val="18"/>
        </w:rPr>
        <w:fldChar w:fldCharType="begin"/>
      </w:r>
      <w:r w:rsidRPr="002804BC">
        <w:rPr>
          <w:rFonts w:ascii="Arial" w:hAnsi="Arial" w:cs="Arial"/>
          <w:sz w:val="18"/>
          <w:szCs w:val="18"/>
        </w:rPr>
        <w:instrText xml:space="preserve"> HYPERLINK "mailto:william@gafcp.org</w:instrText>
      </w:r>
    </w:p>
    <w:p w14:paraId="1D5B49A2" w14:textId="77777777" w:rsidR="00BE5AC3" w:rsidRPr="002804BC" w:rsidRDefault="00BE5AC3" w:rsidP="00BE5AC3">
      <w:pPr>
        <w:jc w:val="right"/>
        <w:rPr>
          <w:rStyle w:val="Hyperlink"/>
          <w:rFonts w:ascii="Arial" w:hAnsi="Arial" w:cs="Arial"/>
          <w:sz w:val="18"/>
          <w:szCs w:val="18"/>
        </w:rPr>
      </w:pPr>
      <w:r w:rsidRPr="002804BC">
        <w:rPr>
          <w:rFonts w:ascii="Arial" w:hAnsi="Arial" w:cs="Arial"/>
          <w:sz w:val="18"/>
          <w:szCs w:val="18"/>
        </w:rPr>
        <w:instrText xml:space="preserve">" </w:instrText>
      </w:r>
      <w:r w:rsidRPr="002804BC">
        <w:rPr>
          <w:rFonts w:ascii="Arial" w:hAnsi="Arial" w:cs="Arial"/>
          <w:sz w:val="18"/>
          <w:szCs w:val="18"/>
        </w:rPr>
      </w:r>
      <w:r w:rsidRPr="002804BC">
        <w:rPr>
          <w:rFonts w:ascii="Arial" w:hAnsi="Arial" w:cs="Arial"/>
          <w:sz w:val="18"/>
          <w:szCs w:val="18"/>
        </w:rPr>
        <w:fldChar w:fldCharType="separate"/>
      </w:r>
      <w:r w:rsidRPr="002804BC">
        <w:rPr>
          <w:rStyle w:val="Hyperlink"/>
          <w:rFonts w:ascii="Arial" w:hAnsi="Arial" w:cs="Arial"/>
          <w:sz w:val="18"/>
          <w:szCs w:val="18"/>
        </w:rPr>
        <w:t>william@gafcp.org</w:t>
      </w:r>
    </w:p>
    <w:p w14:paraId="52247FB3" w14:textId="68336C26" w:rsidR="00BE5AC3" w:rsidRPr="002804BC" w:rsidRDefault="00BE5AC3" w:rsidP="00BE5AC3">
      <w:pPr>
        <w:pStyle w:val="Header"/>
        <w:jc w:val="right"/>
        <w:rPr>
          <w:rFonts w:ascii="Arial" w:hAnsi="Arial" w:cs="Arial"/>
          <w:sz w:val="18"/>
          <w:szCs w:val="18"/>
        </w:rPr>
      </w:pPr>
      <w:r w:rsidRPr="002804BC">
        <w:rPr>
          <w:rFonts w:ascii="Arial" w:hAnsi="Arial" w:cs="Arial"/>
          <w:sz w:val="18"/>
          <w:szCs w:val="18"/>
        </w:rPr>
        <w:fldChar w:fldCharType="end"/>
      </w:r>
      <w:r w:rsidR="00CA659A">
        <w:rPr>
          <w:rFonts w:ascii="Arial" w:hAnsi="Arial" w:cs="Arial"/>
          <w:sz w:val="18"/>
          <w:szCs w:val="18"/>
        </w:rPr>
        <w:t>678-326-2538</w:t>
      </w:r>
    </w:p>
    <w:p w14:paraId="5D43EA8A" w14:textId="77777777" w:rsidR="00BE5AC3" w:rsidRPr="002804BC" w:rsidRDefault="00BE5AC3" w:rsidP="00BE5AC3">
      <w:pPr>
        <w:pStyle w:val="Header"/>
        <w:jc w:val="right"/>
        <w:rPr>
          <w:rFonts w:ascii="Arial" w:hAnsi="Arial" w:cs="Arial"/>
          <w:sz w:val="18"/>
          <w:szCs w:val="18"/>
        </w:rPr>
      </w:pPr>
    </w:p>
    <w:p w14:paraId="11899B49" w14:textId="77777777" w:rsidR="00BE5AC3" w:rsidRPr="002804BC" w:rsidRDefault="00BE5AC3" w:rsidP="00BE5AC3">
      <w:pPr>
        <w:pStyle w:val="Header"/>
        <w:jc w:val="right"/>
        <w:rPr>
          <w:rFonts w:ascii="Arial" w:hAnsi="Arial" w:cs="Arial"/>
          <w:sz w:val="18"/>
          <w:szCs w:val="18"/>
        </w:rPr>
      </w:pPr>
      <w:r w:rsidRPr="002804BC">
        <w:rPr>
          <w:rFonts w:ascii="Arial" w:hAnsi="Arial" w:cs="Arial"/>
          <w:sz w:val="18"/>
          <w:szCs w:val="18"/>
        </w:rPr>
        <w:t>Krystin Dean</w:t>
      </w:r>
    </w:p>
    <w:p w14:paraId="6716E941" w14:textId="77777777" w:rsidR="00BE5AC3" w:rsidRPr="002804BC" w:rsidRDefault="00000000" w:rsidP="00BE5AC3">
      <w:pPr>
        <w:pStyle w:val="Header"/>
        <w:jc w:val="right"/>
        <w:rPr>
          <w:rFonts w:ascii="Arial" w:hAnsi="Arial" w:cs="Arial"/>
          <w:sz w:val="18"/>
          <w:szCs w:val="18"/>
        </w:rPr>
      </w:pPr>
      <w:hyperlink r:id="rId8" w:history="1">
        <w:r w:rsidR="00BE5AC3" w:rsidRPr="002804BC">
          <w:rPr>
            <w:rStyle w:val="Hyperlink"/>
            <w:rFonts w:ascii="Arial" w:hAnsi="Arial" w:cs="Arial"/>
            <w:sz w:val="18"/>
            <w:szCs w:val="18"/>
          </w:rPr>
          <w:t>krystin@gafcp.org</w:t>
        </w:r>
      </w:hyperlink>
    </w:p>
    <w:p w14:paraId="46EC624A" w14:textId="74FF431E" w:rsidR="00BE5AC3" w:rsidRPr="002804BC" w:rsidRDefault="00BE5AC3" w:rsidP="00BE5AC3">
      <w:pPr>
        <w:jc w:val="right"/>
        <w:rPr>
          <w:rFonts w:ascii="Arial" w:hAnsi="Arial" w:cs="Arial"/>
          <w:b/>
          <w:bCs/>
          <w:color w:val="000000"/>
          <w:sz w:val="18"/>
          <w:szCs w:val="18"/>
        </w:rPr>
      </w:pPr>
      <w:r w:rsidRPr="002804BC">
        <w:rPr>
          <w:rFonts w:ascii="Arial" w:hAnsi="Arial" w:cs="Arial"/>
          <w:sz w:val="18"/>
          <w:szCs w:val="18"/>
        </w:rPr>
        <w:t>706-897-4711</w:t>
      </w:r>
    </w:p>
    <w:p w14:paraId="1B843470" w14:textId="6C0E201A" w:rsidR="00AD63F1" w:rsidRPr="00044E6B" w:rsidRDefault="00044E6B" w:rsidP="00044E6B">
      <w:pPr>
        <w:rPr>
          <w:rFonts w:ascii="Arial" w:hAnsi="Arial" w:cs="Arial"/>
          <w:b/>
          <w:bCs/>
          <w:color w:val="000000"/>
          <w:sz w:val="22"/>
          <w:szCs w:val="22"/>
        </w:rPr>
      </w:pPr>
      <w:r>
        <w:rPr>
          <w:rFonts w:ascii="Arial" w:hAnsi="Arial" w:cs="Arial"/>
          <w:b/>
          <w:bCs/>
          <w:color w:val="000000"/>
          <w:sz w:val="20"/>
          <w:szCs w:val="20"/>
        </w:rPr>
        <w:t>FOR IMMEDIATE RELEASE</w:t>
      </w:r>
    </w:p>
    <w:p w14:paraId="2782733B" w14:textId="77777777" w:rsidR="00681370" w:rsidRDefault="00681370" w:rsidP="00E97DFC">
      <w:pPr>
        <w:jc w:val="center"/>
        <w:rPr>
          <w:rFonts w:ascii="Arial" w:hAnsi="Arial" w:cs="Arial"/>
          <w:b/>
          <w:bCs/>
          <w:color w:val="000000"/>
        </w:rPr>
      </w:pPr>
    </w:p>
    <w:p w14:paraId="169FFF16" w14:textId="4944623E" w:rsidR="00BC362A" w:rsidRDefault="000A2444" w:rsidP="000A2444">
      <w:pPr>
        <w:jc w:val="center"/>
        <w:rPr>
          <w:rFonts w:ascii="Arial" w:hAnsi="Arial" w:cs="Arial"/>
          <w:b/>
          <w:bCs/>
          <w:sz w:val="28"/>
          <w:szCs w:val="28"/>
        </w:rPr>
      </w:pPr>
      <w:r w:rsidRPr="00BC362A">
        <w:rPr>
          <w:rFonts w:ascii="Arial" w:hAnsi="Arial" w:cs="Arial"/>
          <w:b/>
          <w:bCs/>
          <w:sz w:val="28"/>
          <w:szCs w:val="28"/>
        </w:rPr>
        <w:t>Georgia</w:t>
      </w:r>
      <w:r w:rsidR="00BC362A" w:rsidRPr="00BC362A">
        <w:rPr>
          <w:rFonts w:ascii="Arial" w:hAnsi="Arial" w:cs="Arial"/>
          <w:b/>
          <w:bCs/>
          <w:sz w:val="28"/>
          <w:szCs w:val="28"/>
        </w:rPr>
        <w:t>’s</w:t>
      </w:r>
      <w:r w:rsidRPr="00BC362A">
        <w:rPr>
          <w:rFonts w:ascii="Arial" w:hAnsi="Arial" w:cs="Arial"/>
          <w:b/>
          <w:bCs/>
          <w:sz w:val="28"/>
          <w:szCs w:val="28"/>
        </w:rPr>
        <w:t xml:space="preserve"> Civic Health</w:t>
      </w:r>
      <w:r w:rsidR="00BC362A" w:rsidRPr="00BC362A">
        <w:rPr>
          <w:rFonts w:ascii="Arial" w:hAnsi="Arial" w:cs="Arial"/>
          <w:b/>
          <w:bCs/>
          <w:sz w:val="28"/>
          <w:szCs w:val="28"/>
        </w:rPr>
        <w:t xml:space="preserve"> </w:t>
      </w:r>
      <w:r w:rsidR="00B7235C" w:rsidRPr="00BC362A">
        <w:rPr>
          <w:rFonts w:ascii="Arial" w:hAnsi="Arial" w:cs="Arial"/>
          <w:b/>
          <w:bCs/>
          <w:sz w:val="28"/>
          <w:szCs w:val="28"/>
        </w:rPr>
        <w:t xml:space="preserve">Still Not Strong Despite </w:t>
      </w:r>
      <w:r w:rsidR="00934E7E">
        <w:rPr>
          <w:rFonts w:ascii="Arial" w:hAnsi="Arial" w:cs="Arial"/>
          <w:b/>
          <w:bCs/>
          <w:sz w:val="28"/>
          <w:szCs w:val="28"/>
        </w:rPr>
        <w:t>a</w:t>
      </w:r>
    </w:p>
    <w:p w14:paraId="72E0436E" w14:textId="5CB0D481" w:rsidR="000A2444" w:rsidRPr="00BC362A" w:rsidRDefault="00B7235C" w:rsidP="000A2444">
      <w:pPr>
        <w:jc w:val="center"/>
        <w:rPr>
          <w:rFonts w:ascii="Arial" w:hAnsi="Arial" w:cs="Arial"/>
          <w:b/>
          <w:bCs/>
          <w:color w:val="221E1F"/>
          <w:sz w:val="28"/>
          <w:szCs w:val="28"/>
        </w:rPr>
      </w:pPr>
      <w:r w:rsidRPr="00BC362A">
        <w:rPr>
          <w:rFonts w:ascii="Arial" w:hAnsi="Arial" w:cs="Arial"/>
          <w:b/>
          <w:bCs/>
          <w:sz w:val="28"/>
          <w:szCs w:val="28"/>
        </w:rPr>
        <w:t xml:space="preserve">Rise in </w:t>
      </w:r>
      <w:r w:rsidR="00CC4CAA">
        <w:rPr>
          <w:rFonts w:ascii="Arial" w:hAnsi="Arial" w:cs="Arial"/>
          <w:b/>
          <w:bCs/>
          <w:sz w:val="28"/>
          <w:szCs w:val="28"/>
        </w:rPr>
        <w:t>Vot</w:t>
      </w:r>
      <w:r w:rsidR="00692F7A">
        <w:rPr>
          <w:rFonts w:ascii="Arial" w:hAnsi="Arial" w:cs="Arial"/>
          <w:b/>
          <w:bCs/>
          <w:sz w:val="28"/>
          <w:szCs w:val="28"/>
        </w:rPr>
        <w:t>er Turnout</w:t>
      </w:r>
    </w:p>
    <w:p w14:paraId="5DEA578C" w14:textId="77777777" w:rsidR="002D51DC" w:rsidRDefault="002D51DC" w:rsidP="000A2444">
      <w:pPr>
        <w:jc w:val="center"/>
        <w:rPr>
          <w:rFonts w:ascii="Arial" w:hAnsi="Arial" w:cs="Arial"/>
          <w:color w:val="221E1F"/>
          <w:sz w:val="22"/>
          <w:szCs w:val="22"/>
        </w:rPr>
      </w:pPr>
    </w:p>
    <w:p w14:paraId="5BE58024" w14:textId="49FF5EE6" w:rsidR="00B7235C" w:rsidRPr="002D51DC" w:rsidRDefault="00B7235C" w:rsidP="000A2444">
      <w:pPr>
        <w:jc w:val="center"/>
        <w:rPr>
          <w:rStyle w:val="hgkelc"/>
          <w:rFonts w:ascii="Arial" w:hAnsi="Arial" w:cs="Arial"/>
          <w:b/>
          <w:bCs/>
          <w:i/>
          <w:iCs/>
          <w:color w:val="221E1F"/>
          <w:sz w:val="22"/>
          <w:szCs w:val="22"/>
        </w:rPr>
      </w:pPr>
      <w:r w:rsidRPr="002D51DC">
        <w:rPr>
          <w:rFonts w:ascii="Arial" w:hAnsi="Arial" w:cs="Arial"/>
          <w:b/>
          <w:bCs/>
          <w:i/>
          <w:iCs/>
          <w:color w:val="221E1F"/>
          <w:sz w:val="22"/>
          <w:szCs w:val="22"/>
        </w:rPr>
        <w:t xml:space="preserve">While </w:t>
      </w:r>
      <w:r w:rsidR="00994F29">
        <w:rPr>
          <w:rFonts w:ascii="Arial" w:hAnsi="Arial" w:cs="Arial"/>
          <w:b/>
          <w:bCs/>
          <w:i/>
          <w:iCs/>
          <w:color w:val="221E1F"/>
          <w:sz w:val="22"/>
          <w:szCs w:val="22"/>
        </w:rPr>
        <w:t>d</w:t>
      </w:r>
      <w:r w:rsidRPr="002D51DC">
        <w:rPr>
          <w:rFonts w:ascii="Arial" w:hAnsi="Arial" w:cs="Arial"/>
          <w:b/>
          <w:bCs/>
          <w:i/>
          <w:iCs/>
          <w:color w:val="221E1F"/>
          <w:sz w:val="22"/>
          <w:szCs w:val="22"/>
        </w:rPr>
        <w:t xml:space="preserve">ata </w:t>
      </w:r>
      <w:r w:rsidR="00994F29">
        <w:rPr>
          <w:rFonts w:ascii="Arial" w:hAnsi="Arial" w:cs="Arial"/>
          <w:b/>
          <w:bCs/>
          <w:i/>
          <w:iCs/>
          <w:color w:val="221E1F"/>
          <w:sz w:val="22"/>
          <w:szCs w:val="22"/>
        </w:rPr>
        <w:t>s</w:t>
      </w:r>
      <w:r w:rsidRPr="002D51DC">
        <w:rPr>
          <w:rFonts w:ascii="Arial" w:hAnsi="Arial" w:cs="Arial"/>
          <w:b/>
          <w:bCs/>
          <w:i/>
          <w:iCs/>
          <w:color w:val="221E1F"/>
          <w:sz w:val="22"/>
          <w:szCs w:val="22"/>
        </w:rPr>
        <w:t xml:space="preserve">how an </w:t>
      </w:r>
      <w:r w:rsidR="00994F29">
        <w:rPr>
          <w:rFonts w:ascii="Arial" w:hAnsi="Arial" w:cs="Arial"/>
          <w:b/>
          <w:bCs/>
          <w:i/>
          <w:iCs/>
          <w:color w:val="221E1F"/>
          <w:sz w:val="22"/>
          <w:szCs w:val="22"/>
        </w:rPr>
        <w:t>i</w:t>
      </w:r>
      <w:r w:rsidRPr="002D51DC">
        <w:rPr>
          <w:rFonts w:ascii="Arial" w:hAnsi="Arial" w:cs="Arial"/>
          <w:b/>
          <w:bCs/>
          <w:i/>
          <w:iCs/>
          <w:color w:val="221E1F"/>
          <w:sz w:val="22"/>
          <w:szCs w:val="22"/>
        </w:rPr>
        <w:t xml:space="preserve">ncrease in </w:t>
      </w:r>
      <w:r w:rsidR="00994F29">
        <w:rPr>
          <w:rFonts w:ascii="Arial" w:hAnsi="Arial" w:cs="Arial"/>
          <w:b/>
          <w:bCs/>
          <w:i/>
          <w:iCs/>
          <w:color w:val="221E1F"/>
          <w:sz w:val="22"/>
          <w:szCs w:val="22"/>
        </w:rPr>
        <w:t>v</w:t>
      </w:r>
      <w:r w:rsidRPr="002D51DC">
        <w:rPr>
          <w:rFonts w:ascii="Arial" w:hAnsi="Arial" w:cs="Arial"/>
          <w:b/>
          <w:bCs/>
          <w:i/>
          <w:iCs/>
          <w:color w:val="221E1F"/>
          <w:sz w:val="22"/>
          <w:szCs w:val="22"/>
        </w:rPr>
        <w:t>ot</w:t>
      </w:r>
      <w:r w:rsidR="00CC4CAA" w:rsidRPr="002D51DC">
        <w:rPr>
          <w:rFonts w:ascii="Arial" w:hAnsi="Arial" w:cs="Arial"/>
          <w:b/>
          <w:bCs/>
          <w:i/>
          <w:iCs/>
          <w:color w:val="221E1F"/>
          <w:sz w:val="22"/>
          <w:szCs w:val="22"/>
        </w:rPr>
        <w:t xml:space="preserve">ing </w:t>
      </w:r>
      <w:r w:rsidR="00994F29">
        <w:rPr>
          <w:rFonts w:ascii="Arial" w:hAnsi="Arial" w:cs="Arial"/>
          <w:b/>
          <w:bCs/>
          <w:i/>
          <w:iCs/>
          <w:color w:val="221E1F"/>
          <w:sz w:val="22"/>
          <w:szCs w:val="22"/>
        </w:rPr>
        <w:t>r</w:t>
      </w:r>
      <w:r w:rsidR="00CC4CAA" w:rsidRPr="002D51DC">
        <w:rPr>
          <w:rFonts w:ascii="Arial" w:hAnsi="Arial" w:cs="Arial"/>
          <w:b/>
          <w:bCs/>
          <w:i/>
          <w:iCs/>
          <w:color w:val="221E1F"/>
          <w:sz w:val="22"/>
          <w:szCs w:val="22"/>
        </w:rPr>
        <w:t>ates from 201</w:t>
      </w:r>
      <w:r w:rsidR="00692F7A" w:rsidRPr="002D51DC">
        <w:rPr>
          <w:rFonts w:ascii="Arial" w:hAnsi="Arial" w:cs="Arial"/>
          <w:b/>
          <w:bCs/>
          <w:i/>
          <w:iCs/>
          <w:color w:val="221E1F"/>
          <w:sz w:val="22"/>
          <w:szCs w:val="22"/>
        </w:rPr>
        <w:t>7</w:t>
      </w:r>
      <w:r w:rsidR="00CC4CAA" w:rsidRPr="002D51DC">
        <w:rPr>
          <w:rFonts w:ascii="Arial" w:hAnsi="Arial" w:cs="Arial"/>
          <w:b/>
          <w:bCs/>
          <w:i/>
          <w:iCs/>
          <w:color w:val="221E1F"/>
          <w:sz w:val="22"/>
          <w:szCs w:val="22"/>
        </w:rPr>
        <w:t xml:space="preserve"> to 202</w:t>
      </w:r>
      <w:r w:rsidR="00692F7A" w:rsidRPr="002D51DC">
        <w:rPr>
          <w:rFonts w:ascii="Arial" w:hAnsi="Arial" w:cs="Arial"/>
          <w:b/>
          <w:bCs/>
          <w:i/>
          <w:iCs/>
          <w:color w:val="221E1F"/>
          <w:sz w:val="22"/>
          <w:szCs w:val="22"/>
        </w:rPr>
        <w:t>1</w:t>
      </w:r>
      <w:r w:rsidRPr="002D51DC">
        <w:rPr>
          <w:rFonts w:ascii="Arial" w:hAnsi="Arial" w:cs="Arial"/>
          <w:b/>
          <w:bCs/>
          <w:i/>
          <w:iCs/>
          <w:color w:val="221E1F"/>
          <w:sz w:val="22"/>
          <w:szCs w:val="22"/>
        </w:rPr>
        <w:t xml:space="preserve">, </w:t>
      </w:r>
      <w:r w:rsidR="00994F29">
        <w:rPr>
          <w:rFonts w:ascii="Arial" w:hAnsi="Arial" w:cs="Arial"/>
          <w:b/>
          <w:bCs/>
          <w:i/>
          <w:iCs/>
          <w:color w:val="221E1F"/>
          <w:sz w:val="22"/>
          <w:szCs w:val="22"/>
        </w:rPr>
        <w:t>m</w:t>
      </w:r>
      <w:r w:rsidRPr="002D51DC">
        <w:rPr>
          <w:rFonts w:ascii="Arial" w:hAnsi="Arial" w:cs="Arial"/>
          <w:b/>
          <w:bCs/>
          <w:i/>
          <w:iCs/>
          <w:color w:val="221E1F"/>
          <w:sz w:val="22"/>
          <w:szCs w:val="22"/>
        </w:rPr>
        <w:t xml:space="preserve">easures of </w:t>
      </w:r>
      <w:r w:rsidR="00934E7E" w:rsidRPr="002D51DC">
        <w:rPr>
          <w:rFonts w:ascii="Arial" w:hAnsi="Arial" w:cs="Arial"/>
          <w:b/>
          <w:bCs/>
          <w:i/>
          <w:iCs/>
          <w:color w:val="221E1F"/>
          <w:sz w:val="22"/>
          <w:szCs w:val="22"/>
        </w:rPr>
        <w:t xml:space="preserve">Georgians’ </w:t>
      </w:r>
      <w:r w:rsidR="00994F29">
        <w:rPr>
          <w:rFonts w:ascii="Arial" w:hAnsi="Arial" w:cs="Arial"/>
          <w:b/>
          <w:bCs/>
          <w:i/>
          <w:iCs/>
          <w:color w:val="221E1F"/>
          <w:sz w:val="22"/>
          <w:szCs w:val="22"/>
        </w:rPr>
        <w:t>s</w:t>
      </w:r>
      <w:r w:rsidRPr="002D51DC">
        <w:rPr>
          <w:rFonts w:ascii="Arial" w:hAnsi="Arial" w:cs="Arial"/>
          <w:b/>
          <w:bCs/>
          <w:i/>
          <w:iCs/>
          <w:color w:val="221E1F"/>
          <w:sz w:val="22"/>
          <w:szCs w:val="22"/>
        </w:rPr>
        <w:t xml:space="preserve">ocial </w:t>
      </w:r>
      <w:r w:rsidR="00994F29">
        <w:rPr>
          <w:rFonts w:ascii="Arial" w:hAnsi="Arial" w:cs="Arial"/>
          <w:b/>
          <w:bCs/>
          <w:i/>
          <w:iCs/>
          <w:color w:val="221E1F"/>
          <w:sz w:val="22"/>
          <w:szCs w:val="22"/>
        </w:rPr>
        <w:t>c</w:t>
      </w:r>
      <w:r w:rsidRPr="002D51DC">
        <w:rPr>
          <w:rFonts w:ascii="Arial" w:hAnsi="Arial" w:cs="Arial"/>
          <w:b/>
          <w:bCs/>
          <w:i/>
          <w:iCs/>
          <w:color w:val="221E1F"/>
          <w:sz w:val="22"/>
          <w:szCs w:val="22"/>
        </w:rPr>
        <w:t xml:space="preserve">onnectedness and </w:t>
      </w:r>
      <w:r w:rsidR="00994F29">
        <w:rPr>
          <w:rFonts w:ascii="Arial" w:hAnsi="Arial" w:cs="Arial"/>
          <w:b/>
          <w:bCs/>
          <w:i/>
          <w:iCs/>
          <w:color w:val="221E1F"/>
          <w:sz w:val="22"/>
          <w:szCs w:val="22"/>
        </w:rPr>
        <w:t>c</w:t>
      </w:r>
      <w:r w:rsidRPr="002D51DC">
        <w:rPr>
          <w:rFonts w:ascii="Arial" w:hAnsi="Arial" w:cs="Arial"/>
          <w:b/>
          <w:bCs/>
          <w:i/>
          <w:iCs/>
          <w:color w:val="221E1F"/>
          <w:sz w:val="22"/>
          <w:szCs w:val="22"/>
        </w:rPr>
        <w:t xml:space="preserve">ommunity </w:t>
      </w:r>
      <w:r w:rsidR="00994F29">
        <w:rPr>
          <w:rFonts w:ascii="Arial" w:hAnsi="Arial" w:cs="Arial"/>
          <w:b/>
          <w:bCs/>
          <w:i/>
          <w:iCs/>
          <w:color w:val="221E1F"/>
          <w:sz w:val="22"/>
          <w:szCs w:val="22"/>
        </w:rPr>
        <w:t>i</w:t>
      </w:r>
      <w:r w:rsidRPr="002D51DC">
        <w:rPr>
          <w:rFonts w:ascii="Arial" w:hAnsi="Arial" w:cs="Arial"/>
          <w:b/>
          <w:bCs/>
          <w:i/>
          <w:iCs/>
          <w:color w:val="221E1F"/>
          <w:sz w:val="22"/>
          <w:szCs w:val="22"/>
        </w:rPr>
        <w:t xml:space="preserve">nvolvement </w:t>
      </w:r>
      <w:r w:rsidR="00994F29">
        <w:rPr>
          <w:rFonts w:ascii="Arial" w:hAnsi="Arial" w:cs="Arial"/>
          <w:b/>
          <w:bCs/>
          <w:i/>
          <w:iCs/>
          <w:color w:val="221E1F"/>
          <w:sz w:val="22"/>
          <w:szCs w:val="22"/>
        </w:rPr>
        <w:t>d</w:t>
      </w:r>
      <w:r w:rsidR="00934E7E" w:rsidRPr="002D51DC">
        <w:rPr>
          <w:rFonts w:ascii="Arial" w:hAnsi="Arial" w:cs="Arial"/>
          <w:b/>
          <w:bCs/>
          <w:i/>
          <w:iCs/>
          <w:color w:val="221E1F"/>
          <w:sz w:val="22"/>
          <w:szCs w:val="22"/>
        </w:rPr>
        <w:t>eclined</w:t>
      </w:r>
      <w:r w:rsidR="00994F29">
        <w:rPr>
          <w:rFonts w:ascii="Arial" w:hAnsi="Arial" w:cs="Arial"/>
          <w:b/>
          <w:bCs/>
          <w:i/>
          <w:iCs/>
          <w:color w:val="221E1F"/>
          <w:sz w:val="22"/>
          <w:szCs w:val="22"/>
        </w:rPr>
        <w:t>.</w:t>
      </w:r>
    </w:p>
    <w:p w14:paraId="4DC34F49" w14:textId="77777777" w:rsidR="00692109" w:rsidRPr="001B5CFE" w:rsidRDefault="00692109" w:rsidP="00692109">
      <w:pPr>
        <w:rPr>
          <w:sz w:val="22"/>
          <w:szCs w:val="22"/>
        </w:rPr>
      </w:pPr>
    </w:p>
    <w:p w14:paraId="47B1CB85" w14:textId="31582E43" w:rsidR="000A2444" w:rsidRPr="00D366E8" w:rsidRDefault="00692109" w:rsidP="000A2444">
      <w:pPr>
        <w:rPr>
          <w:sz w:val="22"/>
          <w:szCs w:val="22"/>
        </w:rPr>
      </w:pPr>
      <w:r w:rsidRPr="001B5CFE">
        <w:rPr>
          <w:b/>
          <w:bCs/>
          <w:color w:val="000000"/>
          <w:sz w:val="22"/>
          <w:szCs w:val="22"/>
        </w:rPr>
        <w:t>ATLANTA</w:t>
      </w:r>
      <w:r w:rsidRPr="001B5CFE">
        <w:rPr>
          <w:color w:val="000000"/>
          <w:sz w:val="22"/>
          <w:szCs w:val="22"/>
        </w:rPr>
        <w:t>—</w:t>
      </w:r>
      <w:r w:rsidR="000A2444" w:rsidRPr="00D366E8">
        <w:rPr>
          <w:rStyle w:val="hgkelc"/>
          <w:sz w:val="22"/>
          <w:szCs w:val="22"/>
          <w:lang w:val="en"/>
        </w:rPr>
        <w:t>Regularly checking outcome measures over time allows physicians to identify whether their patients’ conditions are improving or deterioratin</w:t>
      </w:r>
      <w:r w:rsidR="000A2444" w:rsidRPr="001F2468">
        <w:rPr>
          <w:rStyle w:val="hgkelc"/>
          <w:sz w:val="22"/>
          <w:szCs w:val="22"/>
          <w:lang w:val="en"/>
        </w:rPr>
        <w:t>g</w:t>
      </w:r>
      <w:r w:rsidR="006F0015" w:rsidRPr="001F2468">
        <w:rPr>
          <w:rStyle w:val="hgkelc"/>
          <w:sz w:val="22"/>
          <w:szCs w:val="22"/>
          <w:lang w:val="en"/>
        </w:rPr>
        <w:t>,</w:t>
      </w:r>
      <w:r w:rsidR="000A2444" w:rsidRPr="00D366E8">
        <w:rPr>
          <w:rStyle w:val="hgkelc"/>
          <w:sz w:val="22"/>
          <w:szCs w:val="22"/>
          <w:lang w:val="en"/>
        </w:rPr>
        <w:t xml:space="preserve"> and detecting changes in their health status informs treatment decisions. Maintaining—and improving—civic health</w:t>
      </w:r>
      <w:r w:rsidR="000A2444" w:rsidRPr="00D366E8">
        <w:rPr>
          <w:sz w:val="22"/>
          <w:szCs w:val="22"/>
        </w:rPr>
        <w:t xml:space="preserve"> requires the same strategy.</w:t>
      </w:r>
    </w:p>
    <w:p w14:paraId="0AD98429" w14:textId="77777777" w:rsidR="000A2444" w:rsidRPr="00D366E8" w:rsidRDefault="000A2444" w:rsidP="000A2444">
      <w:pPr>
        <w:rPr>
          <w:sz w:val="22"/>
          <w:szCs w:val="22"/>
        </w:rPr>
      </w:pPr>
    </w:p>
    <w:p w14:paraId="55AFE060" w14:textId="734BC48A" w:rsidR="000A2444" w:rsidRPr="0068684C" w:rsidRDefault="000A2444" w:rsidP="000A2444">
      <w:pPr>
        <w:rPr>
          <w:sz w:val="22"/>
          <w:szCs w:val="22"/>
        </w:rPr>
      </w:pPr>
      <w:r w:rsidRPr="0068684C">
        <w:rPr>
          <w:sz w:val="22"/>
          <w:szCs w:val="22"/>
        </w:rPr>
        <w:t xml:space="preserve">Georgia continues to struggle </w:t>
      </w:r>
      <w:r w:rsidR="00934E7E" w:rsidRPr="0068684C">
        <w:rPr>
          <w:color w:val="000000" w:themeColor="text1"/>
          <w:sz w:val="22"/>
          <w:szCs w:val="22"/>
        </w:rPr>
        <w:t>with</w:t>
      </w:r>
      <w:r w:rsidRPr="0068684C">
        <w:rPr>
          <w:sz w:val="22"/>
          <w:szCs w:val="22"/>
        </w:rPr>
        <w:t xml:space="preserve"> its civic health, </w:t>
      </w:r>
      <w:r w:rsidRPr="0068684C">
        <w:rPr>
          <w:color w:val="221E1F"/>
          <w:sz w:val="22"/>
          <w:szCs w:val="22"/>
        </w:rPr>
        <w:t>lagging the national averages</w:t>
      </w:r>
      <w:r w:rsidRPr="0068684C">
        <w:rPr>
          <w:sz w:val="22"/>
          <w:szCs w:val="22"/>
        </w:rPr>
        <w:t xml:space="preserve"> across most measures, according to the third edition of the </w:t>
      </w:r>
      <w:r w:rsidRPr="0068684C">
        <w:rPr>
          <w:i/>
          <w:iCs/>
          <w:sz w:val="22"/>
          <w:szCs w:val="22"/>
        </w:rPr>
        <w:t>Georgia Civic Health Index</w:t>
      </w:r>
      <w:r w:rsidRPr="0068684C">
        <w:rPr>
          <w:sz w:val="22"/>
          <w:szCs w:val="22"/>
        </w:rPr>
        <w:t xml:space="preserve"> (CHI), released today by Georgia Family Connection Partnership (</w:t>
      </w:r>
      <w:proofErr w:type="spellStart"/>
      <w:r w:rsidRPr="0068684C">
        <w:rPr>
          <w:sz w:val="22"/>
          <w:szCs w:val="22"/>
        </w:rPr>
        <w:t>GaFCP</w:t>
      </w:r>
      <w:proofErr w:type="spellEnd"/>
      <w:r w:rsidRPr="0068684C">
        <w:rPr>
          <w:sz w:val="22"/>
          <w:szCs w:val="22"/>
        </w:rPr>
        <w:t>), the Georgia Municipal Association (GMA), Georgia City Solutions, and the National Conference on Citizenship (</w:t>
      </w:r>
      <w:proofErr w:type="spellStart"/>
      <w:r w:rsidRPr="0068684C">
        <w:rPr>
          <w:sz w:val="22"/>
          <w:szCs w:val="22"/>
        </w:rPr>
        <w:t>NCoC</w:t>
      </w:r>
      <w:proofErr w:type="spellEnd"/>
      <w:r w:rsidRPr="0068684C">
        <w:rPr>
          <w:sz w:val="22"/>
          <w:szCs w:val="22"/>
        </w:rPr>
        <w:t>).</w:t>
      </w:r>
    </w:p>
    <w:p w14:paraId="573FA7A7" w14:textId="77777777" w:rsidR="000A2444" w:rsidRPr="0068684C" w:rsidRDefault="000A2444" w:rsidP="000A2444">
      <w:pPr>
        <w:rPr>
          <w:sz w:val="22"/>
          <w:szCs w:val="22"/>
        </w:rPr>
      </w:pPr>
    </w:p>
    <w:p w14:paraId="1F8CB295" w14:textId="16F769A9" w:rsidR="0068684C" w:rsidRPr="0068684C" w:rsidRDefault="0068684C" w:rsidP="000A2444">
      <w:pPr>
        <w:rPr>
          <w:sz w:val="22"/>
          <w:szCs w:val="22"/>
        </w:rPr>
      </w:pPr>
      <w:r w:rsidRPr="0068684C">
        <w:rPr>
          <w:sz w:val="22"/>
          <w:szCs w:val="22"/>
        </w:rPr>
        <w:t>“In Georgia and across the country, the data reveal that despite the devastating impact of the COVID-19 pandemic, citizens continued to serve each other and their communities—giving their time and talent to help others at a time of unprecedented need,” said</w:t>
      </w:r>
      <w:r>
        <w:rPr>
          <w:sz w:val="22"/>
          <w:szCs w:val="22"/>
        </w:rPr>
        <w:t xml:space="preserve"> </w:t>
      </w:r>
      <w:proofErr w:type="spellStart"/>
      <w:r>
        <w:rPr>
          <w:sz w:val="22"/>
          <w:szCs w:val="22"/>
        </w:rPr>
        <w:t>NCoC</w:t>
      </w:r>
      <w:proofErr w:type="spellEnd"/>
      <w:r w:rsidRPr="0068684C">
        <w:rPr>
          <w:sz w:val="22"/>
          <w:szCs w:val="22"/>
        </w:rPr>
        <w:t xml:space="preserve"> Research and Evaluation Director Jeff Coates. “But more needs to be done to increase political and voter engagement rates in the state and the nation.”</w:t>
      </w:r>
    </w:p>
    <w:p w14:paraId="312B1798" w14:textId="77777777" w:rsidR="000A2444" w:rsidRPr="0068684C" w:rsidRDefault="000A2444" w:rsidP="000A2444">
      <w:pPr>
        <w:rPr>
          <w:sz w:val="22"/>
          <w:szCs w:val="22"/>
        </w:rPr>
      </w:pPr>
    </w:p>
    <w:p w14:paraId="02E0CA00" w14:textId="63FE8A46" w:rsidR="000A2444" w:rsidRPr="00D366E8" w:rsidRDefault="000A2444" w:rsidP="002A28B4">
      <w:pPr>
        <w:rPr>
          <w:color w:val="221E1F"/>
          <w:sz w:val="22"/>
          <w:szCs w:val="22"/>
        </w:rPr>
      </w:pPr>
      <w:r w:rsidRPr="0068684C">
        <w:rPr>
          <w:color w:val="221E1F"/>
          <w:sz w:val="22"/>
          <w:szCs w:val="22"/>
        </w:rPr>
        <w:t>The report examines</w:t>
      </w:r>
      <w:r w:rsidRPr="0068684C">
        <w:rPr>
          <w:sz w:val="22"/>
          <w:szCs w:val="22"/>
        </w:rPr>
        <w:t xml:space="preserve"> civic engagement measures</w:t>
      </w:r>
      <w:r w:rsidR="008B4882" w:rsidRPr="0068684C">
        <w:rPr>
          <w:sz w:val="22"/>
          <w:szCs w:val="22"/>
        </w:rPr>
        <w:t xml:space="preserve"> and</w:t>
      </w:r>
      <w:r w:rsidRPr="0068684C">
        <w:rPr>
          <w:sz w:val="22"/>
          <w:szCs w:val="22"/>
        </w:rPr>
        <w:t xml:space="preserve"> </w:t>
      </w:r>
      <w:r w:rsidR="008B4882" w:rsidRPr="0068684C">
        <w:rPr>
          <w:sz w:val="22"/>
          <w:szCs w:val="22"/>
        </w:rPr>
        <w:t>explores</w:t>
      </w:r>
      <w:r w:rsidRPr="0068684C">
        <w:rPr>
          <w:sz w:val="22"/>
          <w:szCs w:val="22"/>
        </w:rPr>
        <w:t xml:space="preserve"> the way Georgians interact with each other, their communities, and in political life under </w:t>
      </w:r>
      <w:r w:rsidRPr="0068684C">
        <w:rPr>
          <w:color w:val="221E1F"/>
          <w:sz w:val="22"/>
          <w:szCs w:val="22"/>
        </w:rPr>
        <w:t>four main areas of civic health</w:t>
      </w:r>
      <w:r w:rsidR="002A28B4" w:rsidRPr="0068684C">
        <w:rPr>
          <w:color w:val="221E1F"/>
          <w:sz w:val="22"/>
          <w:szCs w:val="22"/>
        </w:rPr>
        <w:t>: s</w:t>
      </w:r>
      <w:r w:rsidRPr="0068684C">
        <w:rPr>
          <w:color w:val="221E1F"/>
          <w:sz w:val="22"/>
          <w:szCs w:val="22"/>
        </w:rPr>
        <w:t xml:space="preserve">ocial </w:t>
      </w:r>
      <w:r w:rsidR="002A28B4" w:rsidRPr="0068684C">
        <w:rPr>
          <w:color w:val="221E1F"/>
          <w:sz w:val="22"/>
          <w:szCs w:val="22"/>
        </w:rPr>
        <w:t>c</w:t>
      </w:r>
      <w:r w:rsidRPr="0068684C">
        <w:rPr>
          <w:color w:val="221E1F"/>
          <w:sz w:val="22"/>
          <w:szCs w:val="22"/>
        </w:rPr>
        <w:t>onnectedness</w:t>
      </w:r>
      <w:r w:rsidR="002A28B4" w:rsidRPr="0068684C">
        <w:rPr>
          <w:color w:val="221E1F"/>
          <w:sz w:val="22"/>
          <w:szCs w:val="22"/>
        </w:rPr>
        <w:t>, c</w:t>
      </w:r>
      <w:r w:rsidRPr="0068684C">
        <w:rPr>
          <w:color w:val="221E1F"/>
          <w:sz w:val="22"/>
          <w:szCs w:val="22"/>
        </w:rPr>
        <w:t xml:space="preserve">ommunity </w:t>
      </w:r>
      <w:r w:rsidR="002A28B4" w:rsidRPr="0068684C">
        <w:rPr>
          <w:color w:val="221E1F"/>
          <w:sz w:val="22"/>
          <w:szCs w:val="22"/>
        </w:rPr>
        <w:t>i</w:t>
      </w:r>
      <w:r w:rsidRPr="0068684C">
        <w:rPr>
          <w:color w:val="221E1F"/>
          <w:sz w:val="22"/>
          <w:szCs w:val="22"/>
        </w:rPr>
        <w:t>nvolvement</w:t>
      </w:r>
      <w:r w:rsidR="002A28B4">
        <w:rPr>
          <w:color w:val="221E1F"/>
          <w:sz w:val="22"/>
          <w:szCs w:val="22"/>
        </w:rPr>
        <w:t>, p</w:t>
      </w:r>
      <w:r w:rsidRPr="00D366E8">
        <w:rPr>
          <w:color w:val="221E1F"/>
          <w:sz w:val="22"/>
          <w:szCs w:val="22"/>
        </w:rPr>
        <w:t xml:space="preserve">olitical </w:t>
      </w:r>
      <w:r w:rsidR="002A28B4">
        <w:rPr>
          <w:color w:val="221E1F"/>
          <w:sz w:val="22"/>
          <w:szCs w:val="22"/>
        </w:rPr>
        <w:t>a</w:t>
      </w:r>
      <w:r w:rsidRPr="00D366E8">
        <w:rPr>
          <w:color w:val="221E1F"/>
          <w:sz w:val="22"/>
          <w:szCs w:val="22"/>
        </w:rPr>
        <w:t>ction</w:t>
      </w:r>
      <w:r w:rsidR="002A28B4">
        <w:rPr>
          <w:color w:val="221E1F"/>
          <w:sz w:val="22"/>
          <w:szCs w:val="22"/>
        </w:rPr>
        <w:t>, and c</w:t>
      </w:r>
      <w:r w:rsidRPr="00D366E8">
        <w:rPr>
          <w:color w:val="221E1F"/>
          <w:sz w:val="22"/>
          <w:szCs w:val="22"/>
        </w:rPr>
        <w:t xml:space="preserve">onfidence in </w:t>
      </w:r>
      <w:r w:rsidR="002A28B4">
        <w:rPr>
          <w:color w:val="221E1F"/>
          <w:sz w:val="22"/>
          <w:szCs w:val="22"/>
        </w:rPr>
        <w:t>i</w:t>
      </w:r>
      <w:r w:rsidRPr="00D366E8">
        <w:rPr>
          <w:color w:val="221E1F"/>
          <w:sz w:val="22"/>
          <w:szCs w:val="22"/>
        </w:rPr>
        <w:t>nstitutions</w:t>
      </w:r>
      <w:r w:rsidR="002A28B4">
        <w:rPr>
          <w:color w:val="221E1F"/>
          <w:sz w:val="22"/>
          <w:szCs w:val="22"/>
        </w:rPr>
        <w:t>.</w:t>
      </w:r>
    </w:p>
    <w:p w14:paraId="6E5FE1CF" w14:textId="77777777" w:rsidR="008B4882" w:rsidRDefault="008B4882" w:rsidP="008B4882">
      <w:pPr>
        <w:rPr>
          <w:color w:val="000000" w:themeColor="text1"/>
          <w:sz w:val="22"/>
          <w:szCs w:val="22"/>
        </w:rPr>
      </w:pPr>
    </w:p>
    <w:p w14:paraId="08C40901" w14:textId="765D91B8" w:rsidR="008B4882" w:rsidRPr="00144652" w:rsidRDefault="008B4882" w:rsidP="008B4882">
      <w:pPr>
        <w:rPr>
          <w:color w:val="000000" w:themeColor="text1"/>
          <w:sz w:val="22"/>
          <w:szCs w:val="22"/>
        </w:rPr>
      </w:pPr>
      <w:r w:rsidRPr="00144652">
        <w:rPr>
          <w:color w:val="000000" w:themeColor="text1"/>
          <w:sz w:val="22"/>
          <w:szCs w:val="22"/>
        </w:rPr>
        <w:t xml:space="preserve">Georgia’s national ranking has </w:t>
      </w:r>
      <w:r>
        <w:rPr>
          <w:color w:val="000000" w:themeColor="text1"/>
          <w:sz w:val="22"/>
          <w:szCs w:val="22"/>
        </w:rPr>
        <w:t>dropped</w:t>
      </w:r>
      <w:r w:rsidRPr="00144652">
        <w:rPr>
          <w:color w:val="000000" w:themeColor="text1"/>
          <w:sz w:val="22"/>
          <w:szCs w:val="22"/>
        </w:rPr>
        <w:t xml:space="preserve"> in</w:t>
      </w:r>
      <w:r>
        <w:rPr>
          <w:color w:val="000000" w:themeColor="text1"/>
          <w:sz w:val="22"/>
          <w:szCs w:val="22"/>
        </w:rPr>
        <w:t xml:space="preserve"> several measures s</w:t>
      </w:r>
      <w:r w:rsidRPr="00144652">
        <w:rPr>
          <w:color w:val="000000" w:themeColor="text1"/>
          <w:sz w:val="22"/>
          <w:szCs w:val="22"/>
        </w:rPr>
        <w:t>ince the second edition of the report was published in 2019</w:t>
      </w:r>
      <w:r>
        <w:rPr>
          <w:color w:val="000000" w:themeColor="text1"/>
          <w:sz w:val="22"/>
          <w:szCs w:val="22"/>
        </w:rPr>
        <w:t>, including:</w:t>
      </w:r>
    </w:p>
    <w:p w14:paraId="321D961F" w14:textId="77777777" w:rsidR="000A2444" w:rsidRPr="00144652" w:rsidRDefault="000A2444" w:rsidP="000A2444">
      <w:pPr>
        <w:rPr>
          <w:color w:val="000000" w:themeColor="text1"/>
          <w:sz w:val="22"/>
          <w:szCs w:val="22"/>
        </w:rPr>
      </w:pPr>
    </w:p>
    <w:p w14:paraId="3414EC3E" w14:textId="0E1C54C7" w:rsidR="000A2444" w:rsidRPr="00600361" w:rsidRDefault="000A2444" w:rsidP="000A2444">
      <w:pPr>
        <w:numPr>
          <w:ilvl w:val="0"/>
          <w:numId w:val="5"/>
        </w:numPr>
        <w:ind w:left="360"/>
        <w:rPr>
          <w:sz w:val="22"/>
          <w:szCs w:val="22"/>
        </w:rPr>
      </w:pPr>
      <w:r w:rsidRPr="00144652">
        <w:rPr>
          <w:color w:val="000000" w:themeColor="text1"/>
          <w:sz w:val="22"/>
          <w:szCs w:val="22"/>
        </w:rPr>
        <w:t>frequently post</w:t>
      </w:r>
      <w:r w:rsidR="008B4882">
        <w:rPr>
          <w:color w:val="000000" w:themeColor="text1"/>
          <w:sz w:val="22"/>
          <w:szCs w:val="22"/>
        </w:rPr>
        <w:t>ing</w:t>
      </w:r>
      <w:r w:rsidRPr="00144652">
        <w:rPr>
          <w:color w:val="000000" w:themeColor="text1"/>
          <w:sz w:val="22"/>
          <w:szCs w:val="22"/>
        </w:rPr>
        <w:t xml:space="preserve"> views about political</w:t>
      </w:r>
      <w:r w:rsidRPr="00D366E8">
        <w:rPr>
          <w:sz w:val="22"/>
          <w:szCs w:val="22"/>
        </w:rPr>
        <w:t>, societal, or local issues on the internet or social media—13</w:t>
      </w:r>
      <w:r w:rsidRPr="00600361">
        <w:rPr>
          <w:sz w:val="22"/>
          <w:szCs w:val="22"/>
        </w:rPr>
        <w:t xml:space="preserve">th to </w:t>
      </w:r>
      <w:r w:rsidRPr="00D366E8">
        <w:rPr>
          <w:sz w:val="22"/>
          <w:szCs w:val="22"/>
        </w:rPr>
        <w:t>35</w:t>
      </w:r>
      <w:r w:rsidRPr="00600361">
        <w:rPr>
          <w:sz w:val="22"/>
          <w:szCs w:val="22"/>
        </w:rPr>
        <w:t>th,</w:t>
      </w:r>
    </w:p>
    <w:p w14:paraId="25AE66E4" w14:textId="22928ECF" w:rsidR="000A2444" w:rsidRPr="00600361" w:rsidRDefault="000A2444" w:rsidP="000A2444">
      <w:pPr>
        <w:numPr>
          <w:ilvl w:val="0"/>
          <w:numId w:val="5"/>
        </w:numPr>
        <w:ind w:left="360"/>
        <w:rPr>
          <w:sz w:val="22"/>
          <w:szCs w:val="22"/>
        </w:rPr>
      </w:pPr>
      <w:r w:rsidRPr="00D366E8">
        <w:rPr>
          <w:sz w:val="22"/>
          <w:szCs w:val="22"/>
        </w:rPr>
        <w:t>frequently discuss</w:t>
      </w:r>
      <w:r w:rsidR="008B4882">
        <w:rPr>
          <w:sz w:val="22"/>
          <w:szCs w:val="22"/>
        </w:rPr>
        <w:t>ing</w:t>
      </w:r>
      <w:r w:rsidRPr="00D366E8">
        <w:rPr>
          <w:sz w:val="22"/>
          <w:szCs w:val="22"/>
        </w:rPr>
        <w:t xml:space="preserve"> political, societal, or local issues with family or friends—</w:t>
      </w:r>
      <w:r w:rsidRPr="00600361">
        <w:rPr>
          <w:sz w:val="22"/>
          <w:szCs w:val="22"/>
        </w:rPr>
        <w:t>3</w:t>
      </w:r>
      <w:r w:rsidRPr="00D366E8">
        <w:rPr>
          <w:sz w:val="22"/>
          <w:szCs w:val="22"/>
        </w:rPr>
        <w:t>3rd</w:t>
      </w:r>
      <w:r w:rsidRPr="00600361">
        <w:rPr>
          <w:sz w:val="22"/>
          <w:szCs w:val="22"/>
        </w:rPr>
        <w:t xml:space="preserve"> to </w:t>
      </w:r>
      <w:r w:rsidRPr="00D366E8">
        <w:rPr>
          <w:sz w:val="22"/>
          <w:szCs w:val="22"/>
        </w:rPr>
        <w:t>44th</w:t>
      </w:r>
      <w:r w:rsidRPr="00600361">
        <w:rPr>
          <w:sz w:val="22"/>
          <w:szCs w:val="22"/>
        </w:rPr>
        <w:t>,</w:t>
      </w:r>
      <w:r w:rsidR="008B4882">
        <w:rPr>
          <w:sz w:val="22"/>
          <w:szCs w:val="22"/>
        </w:rPr>
        <w:t xml:space="preserve"> and</w:t>
      </w:r>
    </w:p>
    <w:p w14:paraId="2EADFF7D" w14:textId="00023714" w:rsidR="000A2444" w:rsidRPr="00600361" w:rsidRDefault="008B4882" w:rsidP="000A2444">
      <w:pPr>
        <w:numPr>
          <w:ilvl w:val="0"/>
          <w:numId w:val="5"/>
        </w:numPr>
        <w:ind w:left="360"/>
        <w:rPr>
          <w:sz w:val="22"/>
          <w:szCs w:val="22"/>
        </w:rPr>
      </w:pPr>
      <w:r>
        <w:rPr>
          <w:sz w:val="22"/>
          <w:szCs w:val="22"/>
        </w:rPr>
        <w:t xml:space="preserve">frequently </w:t>
      </w:r>
      <w:r w:rsidR="000A2444" w:rsidRPr="00D366E8">
        <w:rPr>
          <w:sz w:val="22"/>
          <w:szCs w:val="22"/>
        </w:rPr>
        <w:t>volunteering—44</w:t>
      </w:r>
      <w:r w:rsidR="000A2444" w:rsidRPr="00600361">
        <w:rPr>
          <w:sz w:val="22"/>
          <w:szCs w:val="22"/>
        </w:rPr>
        <w:t>th</w:t>
      </w:r>
      <w:r w:rsidR="000A2444" w:rsidRPr="00600361">
        <w:rPr>
          <w:sz w:val="22"/>
          <w:szCs w:val="22"/>
          <w:vertAlign w:val="superscript"/>
        </w:rPr>
        <w:t xml:space="preserve"> </w:t>
      </w:r>
      <w:r w:rsidR="000A2444" w:rsidRPr="00600361">
        <w:rPr>
          <w:sz w:val="22"/>
          <w:szCs w:val="22"/>
        </w:rPr>
        <w:t xml:space="preserve">to </w:t>
      </w:r>
      <w:r>
        <w:rPr>
          <w:sz w:val="22"/>
          <w:szCs w:val="22"/>
        </w:rPr>
        <w:t>50</w:t>
      </w:r>
      <w:r w:rsidR="000A2444" w:rsidRPr="008B4882">
        <w:rPr>
          <w:sz w:val="22"/>
          <w:szCs w:val="22"/>
        </w:rPr>
        <w:t>th</w:t>
      </w:r>
      <w:r>
        <w:rPr>
          <w:sz w:val="22"/>
          <w:szCs w:val="22"/>
        </w:rPr>
        <w:t>.</w:t>
      </w:r>
    </w:p>
    <w:p w14:paraId="7E74901F" w14:textId="77777777" w:rsidR="000A2444" w:rsidRPr="00D366E8" w:rsidRDefault="000A2444" w:rsidP="000A2444">
      <w:pPr>
        <w:pStyle w:val="Default"/>
        <w:rPr>
          <w:rFonts w:ascii="Times New Roman" w:hAnsi="Times New Roman" w:cs="Times New Roman"/>
          <w:color w:val="221E1F"/>
          <w:sz w:val="22"/>
          <w:szCs w:val="22"/>
        </w:rPr>
      </w:pPr>
    </w:p>
    <w:p w14:paraId="58C9FD08" w14:textId="13A10712" w:rsidR="000A2444" w:rsidRPr="00D366E8" w:rsidRDefault="000A2444" w:rsidP="000A2444">
      <w:pPr>
        <w:pStyle w:val="Default"/>
        <w:rPr>
          <w:rFonts w:ascii="Times New Roman" w:hAnsi="Times New Roman" w:cs="Times New Roman"/>
          <w:color w:val="221E1F"/>
          <w:sz w:val="22"/>
          <w:szCs w:val="22"/>
        </w:rPr>
      </w:pPr>
      <w:r w:rsidRPr="00D366E8">
        <w:rPr>
          <w:rFonts w:ascii="Times New Roman" w:hAnsi="Times New Roman" w:cs="Times New Roman"/>
          <w:color w:val="221E1F"/>
          <w:sz w:val="22"/>
          <w:szCs w:val="22"/>
        </w:rPr>
        <w:t>Georgia ranks lowest in the nation—</w:t>
      </w:r>
      <w:r w:rsidRPr="001F2468">
        <w:rPr>
          <w:rFonts w:ascii="Times New Roman" w:hAnsi="Times New Roman" w:cs="Times New Roman"/>
          <w:color w:val="221E1F"/>
          <w:sz w:val="22"/>
          <w:szCs w:val="22"/>
        </w:rPr>
        <w:t>5</w:t>
      </w:r>
      <w:r w:rsidR="006F0015" w:rsidRPr="001F2468">
        <w:rPr>
          <w:rFonts w:ascii="Times New Roman" w:hAnsi="Times New Roman" w:cs="Times New Roman"/>
          <w:color w:val="221E1F"/>
          <w:sz w:val="22"/>
          <w:szCs w:val="22"/>
        </w:rPr>
        <w:t>1st</w:t>
      </w:r>
      <w:r w:rsidRPr="00D366E8">
        <w:rPr>
          <w:rFonts w:ascii="Times New Roman" w:hAnsi="Times New Roman" w:cs="Times New Roman"/>
          <w:color w:val="221E1F"/>
          <w:sz w:val="22"/>
          <w:szCs w:val="22"/>
        </w:rPr>
        <w:t>—in frequently talking with or spending time with neighbors</w:t>
      </w:r>
      <w:r w:rsidRPr="0000613B">
        <w:rPr>
          <w:rFonts w:ascii="Times New Roman" w:hAnsi="Times New Roman" w:cs="Times New Roman"/>
          <w:color w:val="FF0000"/>
          <w:sz w:val="22"/>
          <w:szCs w:val="22"/>
        </w:rPr>
        <w:t xml:space="preserve"> </w:t>
      </w:r>
      <w:r w:rsidRPr="00D366E8">
        <w:rPr>
          <w:rFonts w:ascii="Times New Roman" w:hAnsi="Times New Roman" w:cs="Times New Roman"/>
          <w:color w:val="221E1F"/>
          <w:sz w:val="22"/>
          <w:szCs w:val="22"/>
        </w:rPr>
        <w:t>and frequently reading, watching, or listening to news or information about political, societal, or local issues. Beyond that, only 7.7% of Georgians reported they frequently do favors for neighbors compared to 10% nationally.</w:t>
      </w:r>
    </w:p>
    <w:p w14:paraId="57FCFAD7" w14:textId="77777777" w:rsidR="000A2444" w:rsidRPr="00D366E8" w:rsidRDefault="000A2444" w:rsidP="000A2444">
      <w:pPr>
        <w:rPr>
          <w:sz w:val="22"/>
          <w:szCs w:val="22"/>
        </w:rPr>
      </w:pPr>
    </w:p>
    <w:p w14:paraId="1F2FE944" w14:textId="09393887" w:rsidR="000A2444" w:rsidRPr="00D366E8" w:rsidRDefault="008E5250" w:rsidP="000A2444">
      <w:pPr>
        <w:rPr>
          <w:sz w:val="22"/>
          <w:szCs w:val="22"/>
        </w:rPr>
      </w:pPr>
      <w:r w:rsidRPr="001F2468">
        <w:rPr>
          <w:sz w:val="22"/>
          <w:szCs w:val="22"/>
        </w:rPr>
        <w:lastRenderedPageBreak/>
        <w:t>R</w:t>
      </w:r>
      <w:r w:rsidR="000A2444" w:rsidRPr="00600361">
        <w:rPr>
          <w:sz w:val="22"/>
          <w:szCs w:val="22"/>
        </w:rPr>
        <w:t xml:space="preserve">esearch has linked </w:t>
      </w:r>
      <w:r w:rsidR="000A2444" w:rsidRPr="00D366E8">
        <w:rPr>
          <w:sz w:val="22"/>
          <w:szCs w:val="22"/>
        </w:rPr>
        <w:t xml:space="preserve">strong </w:t>
      </w:r>
      <w:r w:rsidR="000A2444" w:rsidRPr="00600361">
        <w:rPr>
          <w:sz w:val="22"/>
          <w:szCs w:val="22"/>
        </w:rPr>
        <w:t xml:space="preserve">civic </w:t>
      </w:r>
      <w:r w:rsidR="000A2444" w:rsidRPr="002D51DC">
        <w:rPr>
          <w:color w:val="000000" w:themeColor="text1"/>
          <w:sz w:val="22"/>
          <w:szCs w:val="22"/>
        </w:rPr>
        <w:t xml:space="preserve">health to </w:t>
      </w:r>
      <w:r w:rsidR="00CC63C4" w:rsidRPr="002D51DC">
        <w:rPr>
          <w:color w:val="000000" w:themeColor="text1"/>
          <w:sz w:val="22"/>
          <w:szCs w:val="22"/>
        </w:rPr>
        <w:t xml:space="preserve">other </w:t>
      </w:r>
      <w:r w:rsidR="001A55F3" w:rsidRPr="002D51DC">
        <w:rPr>
          <w:color w:val="000000" w:themeColor="text1"/>
          <w:sz w:val="22"/>
          <w:szCs w:val="22"/>
        </w:rPr>
        <w:t xml:space="preserve">positive </w:t>
      </w:r>
      <w:r w:rsidR="00CC63C4" w:rsidRPr="002D51DC">
        <w:rPr>
          <w:color w:val="000000" w:themeColor="text1"/>
          <w:sz w:val="22"/>
          <w:szCs w:val="22"/>
        </w:rPr>
        <w:t xml:space="preserve">community outcomes, </w:t>
      </w:r>
      <w:r w:rsidR="008B4882">
        <w:rPr>
          <w:color w:val="000000" w:themeColor="text1"/>
          <w:sz w:val="22"/>
          <w:szCs w:val="22"/>
        </w:rPr>
        <w:t>including</w:t>
      </w:r>
      <w:r w:rsidR="00CC63C4" w:rsidRPr="002D51DC">
        <w:rPr>
          <w:color w:val="000000" w:themeColor="text1"/>
          <w:sz w:val="22"/>
          <w:szCs w:val="22"/>
        </w:rPr>
        <w:t xml:space="preserve"> </w:t>
      </w:r>
      <w:r w:rsidR="000A2444" w:rsidRPr="002D51DC">
        <w:rPr>
          <w:color w:val="000000" w:themeColor="text1"/>
          <w:sz w:val="22"/>
          <w:szCs w:val="22"/>
        </w:rPr>
        <w:t>economic resilience</w:t>
      </w:r>
      <w:r w:rsidR="008B4882">
        <w:rPr>
          <w:color w:val="000000" w:themeColor="text1"/>
          <w:sz w:val="22"/>
          <w:szCs w:val="22"/>
        </w:rPr>
        <w:t>,</w:t>
      </w:r>
      <w:r w:rsidR="000A2444" w:rsidRPr="002D51DC">
        <w:rPr>
          <w:color w:val="000000" w:themeColor="text1"/>
          <w:sz w:val="22"/>
          <w:szCs w:val="22"/>
        </w:rPr>
        <w:t xml:space="preserve"> workforce development</w:t>
      </w:r>
      <w:r w:rsidR="008B4882">
        <w:rPr>
          <w:color w:val="000000" w:themeColor="text1"/>
          <w:sz w:val="22"/>
          <w:szCs w:val="22"/>
        </w:rPr>
        <w:t xml:space="preserve">, </w:t>
      </w:r>
      <w:r w:rsidR="008B4882" w:rsidRPr="00600361">
        <w:rPr>
          <w:sz w:val="22"/>
          <w:szCs w:val="22"/>
        </w:rPr>
        <w:t>access to opportunity</w:t>
      </w:r>
      <w:r w:rsidR="008B4882">
        <w:rPr>
          <w:sz w:val="22"/>
          <w:szCs w:val="22"/>
        </w:rPr>
        <w:t>,</w:t>
      </w:r>
      <w:r w:rsidR="000A2444" w:rsidRPr="002D51DC">
        <w:rPr>
          <w:color w:val="000000" w:themeColor="text1"/>
          <w:sz w:val="22"/>
          <w:szCs w:val="22"/>
        </w:rPr>
        <w:t xml:space="preserve"> </w:t>
      </w:r>
      <w:r w:rsidR="008B4882" w:rsidRPr="00600361">
        <w:rPr>
          <w:sz w:val="22"/>
          <w:szCs w:val="22"/>
        </w:rPr>
        <w:t>lower violent crime rates</w:t>
      </w:r>
      <w:r w:rsidR="008B4882">
        <w:rPr>
          <w:sz w:val="22"/>
          <w:szCs w:val="22"/>
        </w:rPr>
        <w:t xml:space="preserve">, and </w:t>
      </w:r>
      <w:r w:rsidR="008B4882" w:rsidRPr="00600361">
        <w:rPr>
          <w:sz w:val="22"/>
          <w:szCs w:val="22"/>
        </w:rPr>
        <w:t>community vitality</w:t>
      </w:r>
      <w:r w:rsidR="008B4882">
        <w:rPr>
          <w:sz w:val="22"/>
          <w:szCs w:val="22"/>
        </w:rPr>
        <w:t>, as well as other public health outcomes,</w:t>
      </w:r>
      <w:r w:rsidR="008B4882" w:rsidRPr="002D51DC">
        <w:rPr>
          <w:color w:val="000000" w:themeColor="text1"/>
          <w:sz w:val="22"/>
          <w:szCs w:val="22"/>
        </w:rPr>
        <w:t xml:space="preserve"> </w:t>
      </w:r>
      <w:r w:rsidR="008B4882">
        <w:rPr>
          <w:color w:val="000000" w:themeColor="text1"/>
          <w:sz w:val="22"/>
          <w:szCs w:val="22"/>
        </w:rPr>
        <w:t xml:space="preserve">including </w:t>
      </w:r>
      <w:r w:rsidR="000A2444" w:rsidRPr="002D51DC">
        <w:rPr>
          <w:color w:val="000000" w:themeColor="text1"/>
          <w:sz w:val="22"/>
          <w:szCs w:val="22"/>
        </w:rPr>
        <w:t>child development</w:t>
      </w:r>
      <w:r w:rsidR="000A2444" w:rsidRPr="00600361">
        <w:rPr>
          <w:sz w:val="22"/>
          <w:szCs w:val="22"/>
        </w:rPr>
        <w:t>, adolescent well-being, mental health</w:t>
      </w:r>
      <w:r w:rsidR="008B4882">
        <w:rPr>
          <w:sz w:val="22"/>
          <w:szCs w:val="22"/>
        </w:rPr>
        <w:t>,</w:t>
      </w:r>
      <w:r w:rsidR="000A2444" w:rsidRPr="00600361">
        <w:rPr>
          <w:sz w:val="22"/>
          <w:szCs w:val="22"/>
        </w:rPr>
        <w:t xml:space="preserve"> and reduced mortality.</w:t>
      </w:r>
    </w:p>
    <w:p w14:paraId="7ED1FDB8" w14:textId="77777777" w:rsidR="000A2444" w:rsidRPr="00D366E8" w:rsidRDefault="000A2444" w:rsidP="000A2444">
      <w:pPr>
        <w:rPr>
          <w:sz w:val="22"/>
          <w:szCs w:val="22"/>
        </w:rPr>
      </w:pPr>
    </w:p>
    <w:p w14:paraId="21B66274" w14:textId="6D50DEEF" w:rsidR="008B4882" w:rsidRPr="008B4882" w:rsidRDefault="008B4882" w:rsidP="000A2444">
      <w:pPr>
        <w:rPr>
          <w:sz w:val="22"/>
          <w:szCs w:val="22"/>
        </w:rPr>
      </w:pPr>
      <w:r>
        <w:rPr>
          <w:sz w:val="22"/>
          <w:szCs w:val="22"/>
        </w:rPr>
        <w:t>“</w:t>
      </w:r>
      <w:r w:rsidRPr="008B4882">
        <w:rPr>
          <w:sz w:val="22"/>
          <w:szCs w:val="22"/>
        </w:rPr>
        <w:t>Vibrant, economically prosperous cities form the bedrock of a thriving state,</w:t>
      </w:r>
      <w:r>
        <w:rPr>
          <w:sz w:val="22"/>
          <w:szCs w:val="22"/>
        </w:rPr>
        <w:t>”</w:t>
      </w:r>
      <w:r w:rsidRPr="008B4882">
        <w:rPr>
          <w:sz w:val="22"/>
          <w:szCs w:val="22"/>
        </w:rPr>
        <w:t xml:space="preserve"> </w:t>
      </w:r>
      <w:r>
        <w:rPr>
          <w:sz w:val="22"/>
          <w:szCs w:val="22"/>
        </w:rPr>
        <w:t>said</w:t>
      </w:r>
      <w:r w:rsidRPr="008B4882">
        <w:rPr>
          <w:sz w:val="22"/>
          <w:szCs w:val="22"/>
        </w:rPr>
        <w:t xml:space="preserve"> Georgia City Solutions Chair Kirby Thompson. </w:t>
      </w:r>
      <w:r>
        <w:rPr>
          <w:sz w:val="22"/>
          <w:szCs w:val="22"/>
        </w:rPr>
        <w:t>“</w:t>
      </w:r>
      <w:r w:rsidRPr="008B4882">
        <w:rPr>
          <w:sz w:val="22"/>
          <w:szCs w:val="22"/>
        </w:rPr>
        <w:t>Cultivating our civic health directly influences the well</w:t>
      </w:r>
      <w:r>
        <w:rPr>
          <w:sz w:val="22"/>
          <w:szCs w:val="22"/>
        </w:rPr>
        <w:t>-</w:t>
      </w:r>
      <w:r w:rsidRPr="008B4882">
        <w:rPr>
          <w:sz w:val="22"/>
          <w:szCs w:val="22"/>
        </w:rPr>
        <w:t>being of our communities and their residents. It is crucial for us to understand the interplay between civic health and the long-term prosperity of our communities.</w:t>
      </w:r>
      <w:r>
        <w:rPr>
          <w:sz w:val="22"/>
          <w:szCs w:val="22"/>
        </w:rPr>
        <w:t>”</w:t>
      </w:r>
    </w:p>
    <w:p w14:paraId="2A388100" w14:textId="77777777" w:rsidR="008B4882" w:rsidRPr="008B4882" w:rsidRDefault="008B4882" w:rsidP="000A2444">
      <w:pPr>
        <w:rPr>
          <w:sz w:val="22"/>
          <w:szCs w:val="22"/>
        </w:rPr>
      </w:pPr>
    </w:p>
    <w:p w14:paraId="58FF8077" w14:textId="6CEBB981" w:rsidR="000A2444" w:rsidRPr="00D366E8" w:rsidRDefault="000A2444" w:rsidP="000A2444">
      <w:pPr>
        <w:rPr>
          <w:sz w:val="22"/>
          <w:szCs w:val="22"/>
        </w:rPr>
      </w:pPr>
      <w:r w:rsidRPr="00D366E8">
        <w:rPr>
          <w:sz w:val="22"/>
          <w:szCs w:val="22"/>
        </w:rPr>
        <w:t xml:space="preserve">The good news </w:t>
      </w:r>
      <w:r w:rsidR="00A876A0" w:rsidRPr="002D51DC">
        <w:rPr>
          <w:color w:val="000000" w:themeColor="text1"/>
          <w:sz w:val="22"/>
          <w:szCs w:val="22"/>
        </w:rPr>
        <w:t xml:space="preserve">is that </w:t>
      </w:r>
      <w:r w:rsidRPr="002D51DC">
        <w:rPr>
          <w:color w:val="000000" w:themeColor="text1"/>
          <w:sz w:val="22"/>
          <w:szCs w:val="22"/>
        </w:rPr>
        <w:t xml:space="preserve">Georgia </w:t>
      </w:r>
      <w:r w:rsidR="007C76A8" w:rsidRPr="002D51DC">
        <w:rPr>
          <w:color w:val="000000" w:themeColor="text1"/>
          <w:sz w:val="22"/>
          <w:szCs w:val="22"/>
        </w:rPr>
        <w:t>measures on par</w:t>
      </w:r>
      <w:r w:rsidR="00A876A0" w:rsidRPr="002D51DC">
        <w:rPr>
          <w:color w:val="000000" w:themeColor="text1"/>
          <w:sz w:val="22"/>
          <w:szCs w:val="22"/>
        </w:rPr>
        <w:t xml:space="preserve"> or </w:t>
      </w:r>
      <w:r w:rsidR="007C76A8" w:rsidRPr="002D51DC">
        <w:rPr>
          <w:color w:val="000000" w:themeColor="text1"/>
          <w:sz w:val="22"/>
          <w:szCs w:val="22"/>
        </w:rPr>
        <w:t>better</w:t>
      </w:r>
      <w:r w:rsidRPr="002D51DC">
        <w:rPr>
          <w:color w:val="000000" w:themeColor="text1"/>
          <w:sz w:val="22"/>
          <w:szCs w:val="22"/>
        </w:rPr>
        <w:t xml:space="preserve"> than the rest of the nation in eight </w:t>
      </w:r>
      <w:r w:rsidR="007C76A8" w:rsidRPr="002D51DC">
        <w:rPr>
          <w:color w:val="000000" w:themeColor="text1"/>
          <w:sz w:val="22"/>
          <w:szCs w:val="22"/>
        </w:rPr>
        <w:t>indicators</w:t>
      </w:r>
      <w:r w:rsidRPr="002D51DC">
        <w:rPr>
          <w:color w:val="000000" w:themeColor="text1"/>
          <w:sz w:val="22"/>
          <w:szCs w:val="22"/>
        </w:rPr>
        <w:t xml:space="preserve">, which suggests promising opportunities </w:t>
      </w:r>
      <w:r w:rsidRPr="00D366E8">
        <w:rPr>
          <w:sz w:val="22"/>
          <w:szCs w:val="22"/>
        </w:rPr>
        <w:t>for our state.</w:t>
      </w:r>
    </w:p>
    <w:p w14:paraId="5CF04266" w14:textId="77777777" w:rsidR="000A2444" w:rsidRPr="00D366E8" w:rsidRDefault="000A2444" w:rsidP="000A2444">
      <w:pPr>
        <w:pStyle w:val="Default"/>
        <w:rPr>
          <w:rFonts w:ascii="Times New Roman" w:hAnsi="Times New Roman" w:cs="Times New Roman"/>
          <w:sz w:val="22"/>
          <w:szCs w:val="22"/>
        </w:rPr>
      </w:pPr>
    </w:p>
    <w:p w14:paraId="6B429DA7" w14:textId="326E1DE0" w:rsidR="00C57FEC" w:rsidRPr="001F2468" w:rsidRDefault="00C57FEC" w:rsidP="000A2444">
      <w:pPr>
        <w:rPr>
          <w:rFonts w:ascii="Arial" w:hAnsi="Arial" w:cs="Arial"/>
          <w:b/>
          <w:bCs/>
          <w:color w:val="221E1F"/>
          <w:sz w:val="22"/>
          <w:szCs w:val="22"/>
        </w:rPr>
      </w:pPr>
      <w:r w:rsidRPr="001F2468">
        <w:rPr>
          <w:rFonts w:ascii="Arial" w:hAnsi="Arial" w:cs="Arial"/>
          <w:b/>
          <w:bCs/>
          <w:color w:val="221E1F"/>
          <w:sz w:val="22"/>
          <w:szCs w:val="22"/>
        </w:rPr>
        <w:t>More Georgians are Voting, Contacting Public Officials, and Attending Public Meetings</w:t>
      </w:r>
    </w:p>
    <w:p w14:paraId="2557ECEA" w14:textId="77777777" w:rsidR="00C57FEC" w:rsidRDefault="00C57FEC" w:rsidP="000A2444">
      <w:pPr>
        <w:rPr>
          <w:color w:val="221E1F"/>
          <w:sz w:val="22"/>
          <w:szCs w:val="22"/>
        </w:rPr>
      </w:pPr>
    </w:p>
    <w:p w14:paraId="083035D9" w14:textId="01EBA8FF" w:rsidR="000A2444" w:rsidRPr="00C57FEC" w:rsidRDefault="000A2444" w:rsidP="000A2444">
      <w:pPr>
        <w:rPr>
          <w:color w:val="221E1F"/>
          <w:sz w:val="22"/>
          <w:szCs w:val="22"/>
        </w:rPr>
      </w:pPr>
      <w:r w:rsidRPr="007C76A8">
        <w:rPr>
          <w:color w:val="221E1F"/>
          <w:sz w:val="22"/>
          <w:szCs w:val="22"/>
        </w:rPr>
        <w:t>More Georgians are voting</w:t>
      </w:r>
      <w:r w:rsidR="000D6481">
        <w:rPr>
          <w:color w:val="221E1F"/>
          <w:sz w:val="22"/>
          <w:szCs w:val="22"/>
        </w:rPr>
        <w:t xml:space="preserve">. </w:t>
      </w:r>
      <w:r w:rsidRPr="007C76A8">
        <w:rPr>
          <w:color w:val="221E1F"/>
          <w:sz w:val="22"/>
          <w:szCs w:val="22"/>
        </w:rPr>
        <w:t>While</w:t>
      </w:r>
      <w:r w:rsidRPr="00D366E8">
        <w:rPr>
          <w:color w:val="221E1F"/>
          <w:sz w:val="22"/>
          <w:szCs w:val="22"/>
        </w:rPr>
        <w:t xml:space="preserve"> Georgia ranked 37th in the nation for voter registration and voting in the </w:t>
      </w:r>
      <w:r w:rsidRPr="00144652">
        <w:rPr>
          <w:color w:val="000000" w:themeColor="text1"/>
          <w:sz w:val="22"/>
          <w:szCs w:val="22"/>
        </w:rPr>
        <w:t xml:space="preserve">2019 edition of the CHI, our state ranks 33rd in voter registration and 29th in voting in the 2023 report. However, </w:t>
      </w:r>
      <w:r w:rsidR="007C76A8" w:rsidRPr="00144652">
        <w:rPr>
          <w:color w:val="000000" w:themeColor="text1"/>
          <w:sz w:val="22"/>
          <w:szCs w:val="22"/>
        </w:rPr>
        <w:t xml:space="preserve">the report revealed that </w:t>
      </w:r>
      <w:r w:rsidRPr="00144652">
        <w:rPr>
          <w:color w:val="000000" w:themeColor="text1"/>
          <w:sz w:val="22"/>
          <w:szCs w:val="22"/>
        </w:rPr>
        <w:t>voter turnout increased significantly with age</w:t>
      </w:r>
      <w:r w:rsidR="000D6481" w:rsidRPr="00144652">
        <w:rPr>
          <w:color w:val="000000" w:themeColor="text1"/>
          <w:sz w:val="22"/>
          <w:szCs w:val="22"/>
        </w:rPr>
        <w:t>. A</w:t>
      </w:r>
      <w:r w:rsidR="00661734" w:rsidRPr="00144652">
        <w:rPr>
          <w:color w:val="000000" w:themeColor="text1"/>
          <w:sz w:val="22"/>
          <w:szCs w:val="22"/>
        </w:rPr>
        <w:t xml:space="preserve">nd </w:t>
      </w:r>
      <w:r w:rsidR="00510C18" w:rsidRPr="00144652">
        <w:rPr>
          <w:color w:val="000000" w:themeColor="text1"/>
          <w:sz w:val="22"/>
          <w:szCs w:val="22"/>
        </w:rPr>
        <w:t>though</w:t>
      </w:r>
      <w:r w:rsidR="00661734" w:rsidRPr="00144652">
        <w:rPr>
          <w:color w:val="000000" w:themeColor="text1"/>
          <w:sz w:val="22"/>
          <w:szCs w:val="22"/>
        </w:rPr>
        <w:t xml:space="preserve"> </w:t>
      </w:r>
      <w:r w:rsidR="0029262F" w:rsidRPr="00144652">
        <w:rPr>
          <w:color w:val="000000" w:themeColor="text1"/>
          <w:sz w:val="22"/>
          <w:szCs w:val="22"/>
        </w:rPr>
        <w:t>our</w:t>
      </w:r>
      <w:r w:rsidR="00510C18" w:rsidRPr="00144652">
        <w:rPr>
          <w:color w:val="000000" w:themeColor="text1"/>
          <w:sz w:val="22"/>
          <w:szCs w:val="22"/>
        </w:rPr>
        <w:t xml:space="preserve"> </w:t>
      </w:r>
      <w:r w:rsidR="00661734" w:rsidRPr="00144652">
        <w:rPr>
          <w:color w:val="000000" w:themeColor="text1"/>
          <w:sz w:val="22"/>
          <w:szCs w:val="22"/>
        </w:rPr>
        <w:t xml:space="preserve">national ranking </w:t>
      </w:r>
      <w:r w:rsidR="008B4882">
        <w:rPr>
          <w:color w:val="000000" w:themeColor="text1"/>
          <w:sz w:val="22"/>
          <w:szCs w:val="22"/>
        </w:rPr>
        <w:t>i</w:t>
      </w:r>
      <w:r w:rsidR="001F2468">
        <w:rPr>
          <w:color w:val="000000" w:themeColor="text1"/>
          <w:sz w:val="22"/>
          <w:szCs w:val="22"/>
        </w:rPr>
        <w:t>mproved</w:t>
      </w:r>
      <w:r w:rsidR="008B4882">
        <w:rPr>
          <w:color w:val="000000" w:themeColor="text1"/>
          <w:sz w:val="22"/>
          <w:szCs w:val="22"/>
        </w:rPr>
        <w:t xml:space="preserve">, the percent of </w:t>
      </w:r>
      <w:r w:rsidR="00510C18" w:rsidRPr="00144652">
        <w:rPr>
          <w:color w:val="000000" w:themeColor="text1"/>
          <w:sz w:val="22"/>
          <w:szCs w:val="22"/>
        </w:rPr>
        <w:t xml:space="preserve">registered voters </w:t>
      </w:r>
      <w:r w:rsidR="00661734" w:rsidRPr="00144652">
        <w:rPr>
          <w:color w:val="000000" w:themeColor="text1"/>
          <w:sz w:val="22"/>
          <w:szCs w:val="22"/>
        </w:rPr>
        <w:t>i</w:t>
      </w:r>
      <w:r w:rsidR="001F2468">
        <w:rPr>
          <w:color w:val="000000" w:themeColor="text1"/>
          <w:sz w:val="22"/>
          <w:szCs w:val="22"/>
        </w:rPr>
        <w:t>ncreased</w:t>
      </w:r>
      <w:r w:rsidR="00661734" w:rsidRPr="00144652">
        <w:rPr>
          <w:color w:val="000000" w:themeColor="text1"/>
          <w:sz w:val="22"/>
          <w:szCs w:val="22"/>
        </w:rPr>
        <w:t xml:space="preserve"> only slightly from 69.4% in </w:t>
      </w:r>
      <w:r w:rsidR="000D6481" w:rsidRPr="00144652">
        <w:rPr>
          <w:color w:val="000000" w:themeColor="text1"/>
          <w:sz w:val="22"/>
          <w:szCs w:val="22"/>
        </w:rPr>
        <w:t>2017</w:t>
      </w:r>
      <w:r w:rsidR="00661734" w:rsidRPr="00144652">
        <w:rPr>
          <w:color w:val="000000" w:themeColor="text1"/>
          <w:sz w:val="22"/>
          <w:szCs w:val="22"/>
        </w:rPr>
        <w:t xml:space="preserve"> to 70.7% in </w:t>
      </w:r>
      <w:r w:rsidR="000D6481" w:rsidRPr="00144652">
        <w:rPr>
          <w:color w:val="000000" w:themeColor="text1"/>
          <w:sz w:val="22"/>
          <w:szCs w:val="22"/>
        </w:rPr>
        <w:t>2021</w:t>
      </w:r>
      <w:r w:rsidRPr="00144652">
        <w:rPr>
          <w:color w:val="000000" w:themeColor="text1"/>
          <w:sz w:val="22"/>
          <w:szCs w:val="22"/>
        </w:rPr>
        <w:t>.</w:t>
      </w:r>
    </w:p>
    <w:p w14:paraId="7076CF39" w14:textId="77777777" w:rsidR="00C57FEC" w:rsidRDefault="00C57FEC" w:rsidP="000A2444">
      <w:pPr>
        <w:pStyle w:val="Default"/>
        <w:rPr>
          <w:rFonts w:ascii="Times New Roman" w:hAnsi="Times New Roman" w:cs="Times New Roman"/>
          <w:color w:val="000000" w:themeColor="text1"/>
          <w:sz w:val="22"/>
          <w:szCs w:val="22"/>
        </w:rPr>
      </w:pPr>
    </w:p>
    <w:p w14:paraId="6CB40797" w14:textId="421AFC36" w:rsidR="000A2444" w:rsidRPr="00144652" w:rsidRDefault="000A2444" w:rsidP="000A2444">
      <w:pPr>
        <w:pStyle w:val="Default"/>
        <w:rPr>
          <w:rFonts w:ascii="Times New Roman" w:hAnsi="Times New Roman" w:cs="Times New Roman"/>
          <w:color w:val="000000" w:themeColor="text1"/>
          <w:sz w:val="22"/>
          <w:szCs w:val="22"/>
        </w:rPr>
      </w:pPr>
      <w:r w:rsidRPr="00144652">
        <w:rPr>
          <w:rFonts w:ascii="Times New Roman" w:hAnsi="Times New Roman" w:cs="Times New Roman"/>
          <w:color w:val="000000" w:themeColor="text1"/>
          <w:sz w:val="22"/>
          <w:szCs w:val="22"/>
        </w:rPr>
        <w:t xml:space="preserve">Georgia </w:t>
      </w:r>
      <w:r w:rsidR="00EA00D6" w:rsidRPr="00144652">
        <w:rPr>
          <w:rFonts w:ascii="Times New Roman" w:hAnsi="Times New Roman" w:cs="Times New Roman"/>
          <w:color w:val="000000" w:themeColor="text1"/>
          <w:sz w:val="22"/>
          <w:szCs w:val="22"/>
        </w:rPr>
        <w:t xml:space="preserve">also </w:t>
      </w:r>
      <w:r w:rsidRPr="00144652">
        <w:rPr>
          <w:rFonts w:ascii="Times New Roman" w:hAnsi="Times New Roman" w:cs="Times New Roman"/>
          <w:color w:val="000000" w:themeColor="text1"/>
          <w:sz w:val="22"/>
          <w:szCs w:val="22"/>
        </w:rPr>
        <w:t xml:space="preserve">saw a </w:t>
      </w:r>
      <w:r w:rsidR="004D71D1" w:rsidRPr="00144652">
        <w:rPr>
          <w:rFonts w:ascii="Times New Roman" w:hAnsi="Times New Roman" w:cs="Times New Roman"/>
          <w:color w:val="000000" w:themeColor="text1"/>
          <w:sz w:val="22"/>
          <w:szCs w:val="22"/>
        </w:rPr>
        <w:t xml:space="preserve">significant </w:t>
      </w:r>
      <w:r w:rsidRPr="00144652">
        <w:rPr>
          <w:rFonts w:ascii="Times New Roman" w:hAnsi="Times New Roman" w:cs="Times New Roman"/>
          <w:color w:val="000000" w:themeColor="text1"/>
          <w:sz w:val="22"/>
          <w:szCs w:val="22"/>
        </w:rPr>
        <w:t>improvement in</w:t>
      </w:r>
      <w:r w:rsidR="00EA00D6" w:rsidRPr="00144652">
        <w:rPr>
          <w:rFonts w:ascii="Times New Roman" w:hAnsi="Times New Roman" w:cs="Times New Roman"/>
          <w:color w:val="000000" w:themeColor="text1"/>
          <w:sz w:val="22"/>
          <w:szCs w:val="22"/>
        </w:rPr>
        <w:t xml:space="preserve"> another</w:t>
      </w:r>
      <w:r w:rsidRPr="00144652">
        <w:rPr>
          <w:rFonts w:ascii="Times New Roman" w:hAnsi="Times New Roman" w:cs="Times New Roman"/>
          <w:color w:val="000000" w:themeColor="text1"/>
          <w:sz w:val="22"/>
          <w:szCs w:val="22"/>
        </w:rPr>
        <w:t xml:space="preserve"> measure</w:t>
      </w:r>
      <w:r w:rsidR="00EA00D6" w:rsidRPr="00144652">
        <w:rPr>
          <w:rFonts w:ascii="Times New Roman" w:hAnsi="Times New Roman" w:cs="Times New Roman"/>
          <w:color w:val="000000" w:themeColor="text1"/>
          <w:sz w:val="22"/>
          <w:szCs w:val="22"/>
        </w:rPr>
        <w:t xml:space="preserve"> of political action</w:t>
      </w:r>
      <w:r w:rsidRPr="00144652">
        <w:rPr>
          <w:rFonts w:ascii="Times New Roman" w:hAnsi="Times New Roman" w:cs="Times New Roman"/>
          <w:color w:val="000000" w:themeColor="text1"/>
          <w:sz w:val="22"/>
          <w:szCs w:val="22"/>
        </w:rPr>
        <w:t xml:space="preserve">, ranking 35th in the nation in contacting public officials—up from 49th in the 2019 CHI. Communicating with public officials is another critical step in ensuring that a community’s interests are represented in decision-making. </w:t>
      </w:r>
      <w:r w:rsidR="00E46AB0" w:rsidRPr="001F2468">
        <w:rPr>
          <w:rFonts w:ascii="Times New Roman" w:hAnsi="Times New Roman" w:cs="Times New Roman"/>
          <w:color w:val="000000" w:themeColor="text1"/>
          <w:sz w:val="22"/>
          <w:szCs w:val="22"/>
        </w:rPr>
        <w:t>H</w:t>
      </w:r>
      <w:r w:rsidR="00FE4E70" w:rsidRPr="00144652">
        <w:rPr>
          <w:rFonts w:ascii="Times New Roman" w:hAnsi="Times New Roman" w:cs="Times New Roman"/>
          <w:color w:val="000000" w:themeColor="text1"/>
          <w:sz w:val="22"/>
          <w:szCs w:val="22"/>
        </w:rPr>
        <w:t xml:space="preserve">owever, </w:t>
      </w:r>
      <w:r w:rsidRPr="00144652">
        <w:rPr>
          <w:rFonts w:ascii="Times New Roman" w:hAnsi="Times New Roman" w:cs="Times New Roman"/>
          <w:color w:val="000000" w:themeColor="text1"/>
          <w:sz w:val="22"/>
          <w:szCs w:val="22"/>
        </w:rPr>
        <w:t xml:space="preserve">the likelihood of </w:t>
      </w:r>
      <w:r w:rsidR="00FE4E70" w:rsidRPr="00144652">
        <w:rPr>
          <w:rFonts w:ascii="Times New Roman" w:hAnsi="Times New Roman" w:cs="Times New Roman"/>
          <w:color w:val="000000" w:themeColor="text1"/>
          <w:sz w:val="22"/>
          <w:szCs w:val="22"/>
        </w:rPr>
        <w:t xml:space="preserve">Georgians </w:t>
      </w:r>
      <w:r w:rsidRPr="00144652">
        <w:rPr>
          <w:rFonts w:ascii="Times New Roman" w:hAnsi="Times New Roman" w:cs="Times New Roman"/>
          <w:color w:val="000000" w:themeColor="text1"/>
          <w:sz w:val="22"/>
          <w:szCs w:val="22"/>
        </w:rPr>
        <w:t>contacting a public official generally increases with age, more education, and higher income levels</w:t>
      </w:r>
      <w:r w:rsidR="00FE4E70" w:rsidRPr="00144652">
        <w:rPr>
          <w:rFonts w:ascii="Times New Roman" w:hAnsi="Times New Roman" w:cs="Times New Roman"/>
          <w:color w:val="000000" w:themeColor="text1"/>
          <w:sz w:val="22"/>
          <w:szCs w:val="22"/>
        </w:rPr>
        <w:t>.</w:t>
      </w:r>
    </w:p>
    <w:p w14:paraId="3579DE3E" w14:textId="77777777" w:rsidR="00FE4E70" w:rsidRPr="00144652" w:rsidRDefault="00FE4E70" w:rsidP="000A2444">
      <w:pPr>
        <w:pStyle w:val="Default"/>
        <w:rPr>
          <w:rFonts w:ascii="Times New Roman" w:hAnsi="Times New Roman" w:cs="Times New Roman"/>
          <w:color w:val="000000" w:themeColor="text1"/>
          <w:sz w:val="22"/>
          <w:szCs w:val="22"/>
        </w:rPr>
      </w:pPr>
    </w:p>
    <w:p w14:paraId="51942E88" w14:textId="1737D2A0" w:rsidR="000A2444" w:rsidRPr="008B4882" w:rsidRDefault="007536DA" w:rsidP="00560DA1">
      <w:pPr>
        <w:pStyle w:val="Default"/>
        <w:rPr>
          <w:rFonts w:ascii="Times New Roman" w:hAnsi="Times New Roman" w:cs="Times New Roman"/>
          <w:color w:val="221E1F"/>
          <w:sz w:val="22"/>
          <w:szCs w:val="22"/>
        </w:rPr>
      </w:pPr>
      <w:r w:rsidRPr="00144652">
        <w:rPr>
          <w:rFonts w:ascii="Times New Roman" w:hAnsi="Times New Roman" w:cs="Times New Roman"/>
          <w:color w:val="000000" w:themeColor="text1"/>
          <w:sz w:val="22"/>
          <w:szCs w:val="22"/>
        </w:rPr>
        <w:t xml:space="preserve">Similarly, </w:t>
      </w:r>
      <w:r w:rsidR="000A2444" w:rsidRPr="00144652">
        <w:rPr>
          <w:rFonts w:ascii="Times New Roman" w:hAnsi="Times New Roman" w:cs="Times New Roman"/>
          <w:color w:val="000000" w:themeColor="text1"/>
          <w:sz w:val="22"/>
          <w:szCs w:val="22"/>
        </w:rPr>
        <w:t xml:space="preserve">8.2% of Georgia’s </w:t>
      </w:r>
      <w:r w:rsidR="000A2444" w:rsidRPr="00D366E8">
        <w:rPr>
          <w:rFonts w:ascii="Times New Roman" w:hAnsi="Times New Roman" w:cs="Times New Roman"/>
          <w:color w:val="221E1F"/>
          <w:sz w:val="22"/>
          <w:szCs w:val="22"/>
        </w:rPr>
        <w:t xml:space="preserve">residents report attending a public meeting, which ranks our state </w:t>
      </w:r>
      <w:r w:rsidR="000A2444" w:rsidRPr="001F2468">
        <w:rPr>
          <w:rFonts w:ascii="Times New Roman" w:hAnsi="Times New Roman" w:cs="Times New Roman"/>
          <w:color w:val="221E1F"/>
          <w:sz w:val="22"/>
          <w:szCs w:val="22"/>
        </w:rPr>
        <w:t>3</w:t>
      </w:r>
      <w:r w:rsidR="00E46AB0" w:rsidRPr="001F2468">
        <w:rPr>
          <w:rFonts w:ascii="Times New Roman" w:hAnsi="Times New Roman" w:cs="Times New Roman"/>
          <w:color w:val="221E1F"/>
          <w:sz w:val="22"/>
          <w:szCs w:val="22"/>
        </w:rPr>
        <w:t>2nd</w:t>
      </w:r>
      <w:r w:rsidR="000A2444" w:rsidRPr="00D366E8">
        <w:rPr>
          <w:rFonts w:ascii="Times New Roman" w:hAnsi="Times New Roman" w:cs="Times New Roman"/>
          <w:color w:val="221E1F"/>
          <w:sz w:val="22"/>
          <w:szCs w:val="22"/>
        </w:rPr>
        <w:t xml:space="preserve"> in the nation. Attending public meetings </w:t>
      </w:r>
      <w:r w:rsidR="008B4882">
        <w:rPr>
          <w:rFonts w:ascii="Times New Roman" w:hAnsi="Times New Roman" w:cs="Times New Roman"/>
          <w:color w:val="221E1F"/>
          <w:sz w:val="22"/>
          <w:szCs w:val="22"/>
        </w:rPr>
        <w:t>provides an opportunity</w:t>
      </w:r>
      <w:r w:rsidR="000A2444" w:rsidRPr="00D366E8">
        <w:rPr>
          <w:rFonts w:ascii="Times New Roman" w:hAnsi="Times New Roman" w:cs="Times New Roman"/>
          <w:color w:val="221E1F"/>
          <w:sz w:val="22"/>
          <w:szCs w:val="22"/>
        </w:rPr>
        <w:t xml:space="preserve"> to engage with fellow residents, and to share ideas and feedback with various public entities.</w:t>
      </w:r>
      <w:r w:rsidR="008B4882">
        <w:rPr>
          <w:rFonts w:ascii="Times New Roman" w:hAnsi="Times New Roman" w:cs="Times New Roman"/>
          <w:color w:val="221E1F"/>
          <w:sz w:val="22"/>
          <w:szCs w:val="22"/>
        </w:rPr>
        <w:t xml:space="preserve"> Overall, attending public meetings </w:t>
      </w:r>
      <w:r w:rsidR="000A2444" w:rsidRPr="00D366E8">
        <w:rPr>
          <w:rFonts w:ascii="Times New Roman" w:hAnsi="Times New Roman" w:cs="Times New Roman"/>
          <w:color w:val="221E1F"/>
          <w:sz w:val="22"/>
          <w:szCs w:val="22"/>
        </w:rPr>
        <w:t xml:space="preserve">also tends to increase with age and </w:t>
      </w:r>
      <w:r w:rsidR="000A2444" w:rsidRPr="002D51DC">
        <w:rPr>
          <w:rFonts w:ascii="Times New Roman" w:hAnsi="Times New Roman" w:cs="Times New Roman"/>
          <w:color w:val="000000" w:themeColor="text1"/>
          <w:sz w:val="22"/>
          <w:szCs w:val="22"/>
        </w:rPr>
        <w:t>income</w:t>
      </w:r>
      <w:r w:rsidR="00560DA1" w:rsidRPr="002D51DC">
        <w:rPr>
          <w:rFonts w:ascii="Times New Roman" w:hAnsi="Times New Roman" w:cs="Times New Roman"/>
          <w:color w:val="000000" w:themeColor="text1"/>
          <w:sz w:val="22"/>
          <w:szCs w:val="22"/>
        </w:rPr>
        <w:t>.</w:t>
      </w:r>
    </w:p>
    <w:p w14:paraId="08AD5596" w14:textId="77777777" w:rsidR="008B4882" w:rsidRPr="008B4882" w:rsidRDefault="008B4882" w:rsidP="00560DA1">
      <w:pPr>
        <w:pStyle w:val="Default"/>
        <w:rPr>
          <w:rFonts w:ascii="Times New Roman" w:hAnsi="Times New Roman" w:cs="Times New Roman"/>
          <w:color w:val="000000" w:themeColor="text1"/>
          <w:sz w:val="22"/>
          <w:szCs w:val="22"/>
        </w:rPr>
      </w:pPr>
    </w:p>
    <w:p w14:paraId="57F830A1" w14:textId="7AA52F3D" w:rsidR="008E5250" w:rsidRPr="001F2468" w:rsidRDefault="008E5250" w:rsidP="00560DA1">
      <w:pPr>
        <w:pStyle w:val="Default"/>
        <w:rPr>
          <w:rFonts w:ascii="Arial" w:hAnsi="Arial" w:cs="Arial"/>
          <w:b/>
          <w:bCs/>
          <w:sz w:val="22"/>
          <w:szCs w:val="22"/>
        </w:rPr>
      </w:pPr>
      <w:r w:rsidRPr="001F2468">
        <w:rPr>
          <w:rFonts w:ascii="Arial" w:hAnsi="Arial" w:cs="Arial"/>
          <w:b/>
          <w:bCs/>
          <w:sz w:val="22"/>
          <w:szCs w:val="22"/>
        </w:rPr>
        <w:t>Embedding Strategies to Improve Civic Participation</w:t>
      </w:r>
    </w:p>
    <w:p w14:paraId="119E8DF1" w14:textId="77777777" w:rsidR="008E5250" w:rsidRDefault="008E5250" w:rsidP="00560DA1">
      <w:pPr>
        <w:pStyle w:val="Default"/>
        <w:rPr>
          <w:rFonts w:ascii="Times New Roman" w:hAnsi="Times New Roman" w:cs="Times New Roman"/>
          <w:sz w:val="22"/>
          <w:szCs w:val="22"/>
        </w:rPr>
      </w:pPr>
    </w:p>
    <w:p w14:paraId="60132DB3" w14:textId="231ED8BC" w:rsidR="008B4882" w:rsidRPr="008B4882" w:rsidRDefault="008B4882" w:rsidP="00560DA1">
      <w:pPr>
        <w:pStyle w:val="Default"/>
        <w:rPr>
          <w:rFonts w:ascii="Times New Roman" w:hAnsi="Times New Roman" w:cs="Times New Roman"/>
          <w:color w:val="000000" w:themeColor="text1"/>
          <w:sz w:val="22"/>
          <w:szCs w:val="22"/>
        </w:rPr>
      </w:pPr>
      <w:r>
        <w:rPr>
          <w:rFonts w:ascii="Times New Roman" w:hAnsi="Times New Roman" w:cs="Times New Roman"/>
          <w:sz w:val="22"/>
          <w:szCs w:val="22"/>
        </w:rPr>
        <w:t>“</w:t>
      </w:r>
      <w:r w:rsidRPr="008B4882">
        <w:rPr>
          <w:rFonts w:ascii="Times New Roman" w:hAnsi="Times New Roman" w:cs="Times New Roman"/>
          <w:sz w:val="22"/>
          <w:szCs w:val="22"/>
        </w:rPr>
        <w:t>The strength of our democracy begins in our cities and local communities, where common good emerges after the hard work of engagement and consensus building is complete,</w:t>
      </w:r>
      <w:r>
        <w:rPr>
          <w:rFonts w:ascii="Times New Roman" w:hAnsi="Times New Roman" w:cs="Times New Roman"/>
          <w:sz w:val="22"/>
          <w:szCs w:val="22"/>
        </w:rPr>
        <w:t>”</w:t>
      </w:r>
      <w:r w:rsidRPr="008B4882">
        <w:rPr>
          <w:rFonts w:ascii="Times New Roman" w:hAnsi="Times New Roman" w:cs="Times New Roman"/>
          <w:sz w:val="22"/>
          <w:szCs w:val="22"/>
        </w:rPr>
        <w:t xml:space="preserve"> </w:t>
      </w:r>
      <w:r>
        <w:rPr>
          <w:rFonts w:ascii="Times New Roman" w:hAnsi="Times New Roman" w:cs="Times New Roman"/>
          <w:sz w:val="22"/>
          <w:szCs w:val="22"/>
        </w:rPr>
        <w:t>said</w:t>
      </w:r>
      <w:r w:rsidRPr="008B4882">
        <w:rPr>
          <w:rFonts w:ascii="Times New Roman" w:hAnsi="Times New Roman" w:cs="Times New Roman"/>
          <w:sz w:val="22"/>
          <w:szCs w:val="22"/>
        </w:rPr>
        <w:t xml:space="preserve"> GMA CEO and Executive Director Larry Hanson. </w:t>
      </w:r>
      <w:r>
        <w:rPr>
          <w:rFonts w:ascii="Times New Roman" w:hAnsi="Times New Roman" w:cs="Times New Roman"/>
          <w:sz w:val="22"/>
          <w:szCs w:val="22"/>
        </w:rPr>
        <w:t>“</w:t>
      </w:r>
      <w:r w:rsidRPr="008B4882">
        <w:rPr>
          <w:rFonts w:ascii="Times New Roman" w:hAnsi="Times New Roman" w:cs="Times New Roman"/>
          <w:sz w:val="22"/>
          <w:szCs w:val="22"/>
        </w:rPr>
        <w:t xml:space="preserve">Community </w:t>
      </w:r>
      <w:r w:rsidR="001F2468">
        <w:rPr>
          <w:rFonts w:ascii="Times New Roman" w:hAnsi="Times New Roman" w:cs="Times New Roman"/>
          <w:sz w:val="22"/>
          <w:szCs w:val="22"/>
        </w:rPr>
        <w:t>engagement and action—</w:t>
      </w:r>
      <w:r w:rsidRPr="008B4882">
        <w:rPr>
          <w:rFonts w:ascii="Times New Roman" w:hAnsi="Times New Roman" w:cs="Times New Roman"/>
          <w:sz w:val="22"/>
          <w:szCs w:val="22"/>
        </w:rPr>
        <w:t xml:space="preserve">voting, attending public meetings, and engaging in civic-focused activities and respectful dialogue—is vital for creating the places </w:t>
      </w:r>
      <w:r w:rsidRPr="008E5250">
        <w:rPr>
          <w:rFonts w:ascii="Times New Roman" w:hAnsi="Times New Roman" w:cs="Times New Roman"/>
          <w:sz w:val="22"/>
          <w:szCs w:val="22"/>
        </w:rPr>
        <w:t>where</w:t>
      </w:r>
      <w:r w:rsidRPr="008B4882">
        <w:rPr>
          <w:rFonts w:ascii="Times New Roman" w:hAnsi="Times New Roman" w:cs="Times New Roman"/>
          <w:sz w:val="22"/>
          <w:szCs w:val="22"/>
        </w:rPr>
        <w:t xml:space="preserve"> we want to live, work, and play. As this report shows, the challenge of fostering meaningful civic engagement and connectivity remains a worthy and necessary goal.”</w:t>
      </w:r>
    </w:p>
    <w:p w14:paraId="03324F95" w14:textId="77777777" w:rsidR="00FE4E70" w:rsidRPr="00FE4E70" w:rsidRDefault="00FE4E70" w:rsidP="00FE4E70">
      <w:pPr>
        <w:pStyle w:val="Default"/>
      </w:pPr>
    </w:p>
    <w:p w14:paraId="3CC9E8DB" w14:textId="08E2D21E" w:rsidR="000A2444" w:rsidRPr="00144652" w:rsidRDefault="000A2444" w:rsidP="00FE4E70">
      <w:pPr>
        <w:pStyle w:val="Pa1"/>
        <w:spacing w:line="240" w:lineRule="auto"/>
        <w:rPr>
          <w:rFonts w:ascii="Times New Roman" w:hAnsi="Times New Roman" w:cs="Times New Roman"/>
          <w:color w:val="000000" w:themeColor="text1"/>
          <w:sz w:val="22"/>
          <w:szCs w:val="22"/>
        </w:rPr>
      </w:pPr>
      <w:r w:rsidRPr="00D366E8">
        <w:rPr>
          <w:rFonts w:ascii="Times New Roman" w:hAnsi="Times New Roman" w:cs="Times New Roman"/>
          <w:color w:val="221E1F"/>
          <w:sz w:val="22"/>
          <w:szCs w:val="22"/>
        </w:rPr>
        <w:t xml:space="preserve">Georgia ranks 38th in group participation—a </w:t>
      </w:r>
      <w:r w:rsidR="008B4882">
        <w:rPr>
          <w:rFonts w:ascii="Times New Roman" w:hAnsi="Times New Roman" w:cs="Times New Roman"/>
          <w:color w:val="221E1F"/>
          <w:sz w:val="22"/>
          <w:szCs w:val="22"/>
        </w:rPr>
        <w:t>significant increase</w:t>
      </w:r>
      <w:r w:rsidRPr="00D366E8">
        <w:rPr>
          <w:rFonts w:ascii="Times New Roman" w:hAnsi="Times New Roman" w:cs="Times New Roman"/>
          <w:color w:val="221E1F"/>
          <w:sz w:val="22"/>
          <w:szCs w:val="22"/>
        </w:rPr>
        <w:t xml:space="preserve"> from the 2019 report when Georgia ranked 49th. This </w:t>
      </w:r>
      <w:r w:rsidRPr="00144652">
        <w:rPr>
          <w:rFonts w:ascii="Times New Roman" w:hAnsi="Times New Roman" w:cs="Times New Roman"/>
          <w:color w:val="000000" w:themeColor="text1"/>
          <w:sz w:val="22"/>
          <w:szCs w:val="22"/>
        </w:rPr>
        <w:t xml:space="preserve">matters because group participation harnesses the collective power of individuals working together toward a common </w:t>
      </w:r>
      <w:r w:rsidRPr="001F2468">
        <w:rPr>
          <w:rFonts w:ascii="Times New Roman" w:hAnsi="Times New Roman" w:cs="Times New Roman"/>
          <w:color w:val="000000" w:themeColor="text1"/>
          <w:sz w:val="22"/>
          <w:szCs w:val="22"/>
        </w:rPr>
        <w:t>goal</w:t>
      </w:r>
      <w:r w:rsidR="008E5250" w:rsidRPr="001F2468">
        <w:rPr>
          <w:rFonts w:ascii="Times New Roman" w:hAnsi="Times New Roman" w:cs="Times New Roman"/>
          <w:color w:val="000000" w:themeColor="text1"/>
          <w:sz w:val="22"/>
          <w:szCs w:val="22"/>
        </w:rPr>
        <w:t>,</w:t>
      </w:r>
      <w:r w:rsidRPr="001F2468">
        <w:rPr>
          <w:rFonts w:ascii="Times New Roman" w:hAnsi="Times New Roman" w:cs="Times New Roman"/>
          <w:color w:val="000000" w:themeColor="text1"/>
          <w:sz w:val="22"/>
          <w:szCs w:val="22"/>
        </w:rPr>
        <w:t xml:space="preserve"> allow</w:t>
      </w:r>
      <w:r w:rsidR="008E5250" w:rsidRPr="001F2468">
        <w:rPr>
          <w:rFonts w:ascii="Times New Roman" w:hAnsi="Times New Roman" w:cs="Times New Roman"/>
          <w:color w:val="000000" w:themeColor="text1"/>
          <w:sz w:val="22"/>
          <w:szCs w:val="22"/>
        </w:rPr>
        <w:t>ing</w:t>
      </w:r>
      <w:r w:rsidRPr="00144652">
        <w:rPr>
          <w:rFonts w:ascii="Times New Roman" w:hAnsi="Times New Roman" w:cs="Times New Roman"/>
          <w:color w:val="000000" w:themeColor="text1"/>
          <w:sz w:val="22"/>
          <w:szCs w:val="22"/>
        </w:rPr>
        <w:t xml:space="preserve"> groups to pool their resources, skills, and efforts to address community priorities and bring about meaningful change. As with other indicators, group participation increases with age, income, </w:t>
      </w:r>
      <w:r w:rsidR="0091246C" w:rsidRPr="00144652">
        <w:rPr>
          <w:rFonts w:ascii="Times New Roman" w:hAnsi="Times New Roman" w:cs="Times New Roman"/>
          <w:color w:val="000000" w:themeColor="text1"/>
          <w:sz w:val="22"/>
          <w:szCs w:val="22"/>
        </w:rPr>
        <w:t xml:space="preserve">and </w:t>
      </w:r>
      <w:r w:rsidRPr="00144652">
        <w:rPr>
          <w:rFonts w:ascii="Times New Roman" w:hAnsi="Times New Roman" w:cs="Times New Roman"/>
          <w:color w:val="000000" w:themeColor="text1"/>
          <w:sz w:val="22"/>
          <w:szCs w:val="22"/>
        </w:rPr>
        <w:t>education.</w:t>
      </w:r>
    </w:p>
    <w:p w14:paraId="21B12696" w14:textId="77777777" w:rsidR="000A2444" w:rsidRPr="00144652" w:rsidRDefault="000A2444" w:rsidP="000A2444">
      <w:pPr>
        <w:rPr>
          <w:color w:val="000000" w:themeColor="text1"/>
          <w:sz w:val="22"/>
          <w:szCs w:val="22"/>
        </w:rPr>
      </w:pPr>
    </w:p>
    <w:p w14:paraId="2422131F" w14:textId="32F4ED5F" w:rsidR="000A2444" w:rsidRPr="00144652" w:rsidRDefault="000C60E2" w:rsidP="000A2444">
      <w:pPr>
        <w:rPr>
          <w:color w:val="000000" w:themeColor="text1"/>
          <w:sz w:val="22"/>
          <w:szCs w:val="22"/>
        </w:rPr>
      </w:pPr>
      <w:r w:rsidRPr="00144652">
        <w:rPr>
          <w:color w:val="000000" w:themeColor="text1"/>
          <w:sz w:val="22"/>
          <w:szCs w:val="22"/>
        </w:rPr>
        <w:t xml:space="preserve">A </w:t>
      </w:r>
      <w:r w:rsidR="000A2444" w:rsidRPr="00144652">
        <w:rPr>
          <w:color w:val="000000" w:themeColor="text1"/>
          <w:sz w:val="22"/>
          <w:szCs w:val="22"/>
        </w:rPr>
        <w:t xml:space="preserve">growing number of </w:t>
      </w:r>
      <w:r w:rsidR="000A2444" w:rsidRPr="001F2468">
        <w:rPr>
          <w:color w:val="000000" w:themeColor="text1"/>
          <w:sz w:val="22"/>
          <w:szCs w:val="22"/>
        </w:rPr>
        <w:t>evidence-based and evidence-informed</w:t>
      </w:r>
      <w:r w:rsidR="008E5250">
        <w:rPr>
          <w:color w:val="000000" w:themeColor="text1"/>
          <w:sz w:val="22"/>
          <w:szCs w:val="22"/>
        </w:rPr>
        <w:t xml:space="preserve"> </w:t>
      </w:r>
      <w:r w:rsidR="000A2444" w:rsidRPr="00144652">
        <w:rPr>
          <w:color w:val="000000" w:themeColor="text1"/>
          <w:sz w:val="22"/>
          <w:szCs w:val="22"/>
        </w:rPr>
        <w:t>practices that communities can develop and implement</w:t>
      </w:r>
      <w:r w:rsidRPr="00144652">
        <w:rPr>
          <w:color w:val="000000" w:themeColor="text1"/>
          <w:sz w:val="22"/>
          <w:szCs w:val="22"/>
        </w:rPr>
        <w:t xml:space="preserve"> to improve civic health</w:t>
      </w:r>
      <w:r w:rsidR="000A2444" w:rsidRPr="00144652">
        <w:rPr>
          <w:color w:val="000000" w:themeColor="text1"/>
          <w:sz w:val="22"/>
          <w:szCs w:val="22"/>
        </w:rPr>
        <w:t xml:space="preserve"> include:</w:t>
      </w:r>
    </w:p>
    <w:p w14:paraId="4A4462CE" w14:textId="77777777" w:rsidR="000A2444" w:rsidRPr="00144652" w:rsidRDefault="000A2444" w:rsidP="000A2444">
      <w:pPr>
        <w:autoSpaceDE w:val="0"/>
        <w:autoSpaceDN w:val="0"/>
        <w:adjustRightInd w:val="0"/>
        <w:rPr>
          <w:color w:val="000000" w:themeColor="text1"/>
          <w:sz w:val="22"/>
          <w:szCs w:val="22"/>
        </w:rPr>
      </w:pPr>
    </w:p>
    <w:p w14:paraId="3C8F4ACF" w14:textId="77777777" w:rsidR="000A2444" w:rsidRPr="00144652" w:rsidRDefault="000A2444" w:rsidP="000A2444">
      <w:pPr>
        <w:pStyle w:val="ListParagraph"/>
        <w:numPr>
          <w:ilvl w:val="0"/>
          <w:numId w:val="7"/>
        </w:numPr>
        <w:autoSpaceDE w:val="0"/>
        <w:autoSpaceDN w:val="0"/>
        <w:adjustRightInd w:val="0"/>
        <w:ind w:left="360"/>
        <w:rPr>
          <w:color w:val="000000" w:themeColor="text1"/>
          <w:sz w:val="22"/>
          <w:szCs w:val="22"/>
        </w:rPr>
      </w:pPr>
      <w:r w:rsidRPr="00144652">
        <w:rPr>
          <w:color w:val="000000" w:themeColor="text1"/>
          <w:sz w:val="22"/>
          <w:szCs w:val="22"/>
        </w:rPr>
        <w:lastRenderedPageBreak/>
        <w:t>providing instruction in government, history, law, and democracy using evidence-based curricula like iCivics;</w:t>
      </w:r>
      <w:r w:rsidRPr="00144652">
        <w:rPr>
          <w:color w:val="000000" w:themeColor="text1"/>
          <w:sz w:val="22"/>
          <w:szCs w:val="22"/>
        </w:rPr>
        <w:br/>
      </w:r>
    </w:p>
    <w:p w14:paraId="6035B619" w14:textId="77777777" w:rsidR="000A2444" w:rsidRPr="00D366E8" w:rsidRDefault="000A2444" w:rsidP="000A2444">
      <w:pPr>
        <w:pStyle w:val="ListParagraph"/>
        <w:numPr>
          <w:ilvl w:val="0"/>
          <w:numId w:val="7"/>
        </w:numPr>
        <w:autoSpaceDE w:val="0"/>
        <w:autoSpaceDN w:val="0"/>
        <w:adjustRightInd w:val="0"/>
        <w:ind w:left="360"/>
        <w:rPr>
          <w:color w:val="000000" w:themeColor="text1"/>
          <w:sz w:val="22"/>
          <w:szCs w:val="22"/>
        </w:rPr>
      </w:pPr>
      <w:r w:rsidRPr="00144652">
        <w:rPr>
          <w:color w:val="000000" w:themeColor="text1"/>
          <w:sz w:val="22"/>
          <w:szCs w:val="22"/>
        </w:rPr>
        <w:t xml:space="preserve">modifying built environments to increase opportunities for face-to-face interactions across generations and among various </w:t>
      </w:r>
      <w:r w:rsidRPr="00D366E8">
        <w:rPr>
          <w:color w:val="000000" w:themeColor="text1"/>
          <w:sz w:val="22"/>
          <w:szCs w:val="22"/>
        </w:rPr>
        <w:t>community populations; and</w:t>
      </w:r>
      <w:r w:rsidRPr="00D366E8">
        <w:rPr>
          <w:color w:val="000000" w:themeColor="text1"/>
          <w:sz w:val="22"/>
          <w:szCs w:val="22"/>
        </w:rPr>
        <w:br/>
      </w:r>
    </w:p>
    <w:p w14:paraId="0797C131" w14:textId="77777777" w:rsidR="000A2444" w:rsidRPr="00D366E8" w:rsidRDefault="000A2444" w:rsidP="000A2444">
      <w:pPr>
        <w:pStyle w:val="ListParagraph"/>
        <w:numPr>
          <w:ilvl w:val="0"/>
          <w:numId w:val="7"/>
        </w:numPr>
        <w:autoSpaceDE w:val="0"/>
        <w:autoSpaceDN w:val="0"/>
        <w:adjustRightInd w:val="0"/>
        <w:ind w:left="360"/>
        <w:rPr>
          <w:color w:val="000000" w:themeColor="text1"/>
          <w:sz w:val="22"/>
          <w:szCs w:val="22"/>
        </w:rPr>
      </w:pPr>
      <w:r w:rsidRPr="00D366E8">
        <w:rPr>
          <w:color w:val="000000" w:themeColor="text1"/>
          <w:sz w:val="22"/>
          <w:szCs w:val="22"/>
        </w:rPr>
        <w:t>promoting digital literacy and equity, a condition in which all individuals and communities have the information technology capacity they need to fully participate in our society, democracy, and economy.</w:t>
      </w:r>
    </w:p>
    <w:p w14:paraId="63DB1BB0" w14:textId="77777777" w:rsidR="000A2444" w:rsidRPr="00D366E8" w:rsidRDefault="000A2444" w:rsidP="000A2444">
      <w:pPr>
        <w:rPr>
          <w:color w:val="000000" w:themeColor="text1"/>
          <w:sz w:val="22"/>
          <w:szCs w:val="22"/>
        </w:rPr>
      </w:pPr>
    </w:p>
    <w:p w14:paraId="67C21330" w14:textId="5BE1CC8A" w:rsidR="000A2444" w:rsidRPr="00D366E8" w:rsidRDefault="000A2444" w:rsidP="000A2444">
      <w:pPr>
        <w:rPr>
          <w:sz w:val="22"/>
          <w:szCs w:val="22"/>
        </w:rPr>
      </w:pPr>
      <w:r w:rsidRPr="00D366E8">
        <w:rPr>
          <w:color w:val="000000" w:themeColor="text1"/>
          <w:sz w:val="22"/>
          <w:szCs w:val="22"/>
        </w:rPr>
        <w:t>C</w:t>
      </w:r>
      <w:r w:rsidRPr="00600361">
        <w:rPr>
          <w:sz w:val="22"/>
          <w:szCs w:val="22"/>
        </w:rPr>
        <w:t>ritical partners like GMA</w:t>
      </w:r>
      <w:r w:rsidRPr="00D366E8">
        <w:rPr>
          <w:sz w:val="22"/>
          <w:szCs w:val="22"/>
        </w:rPr>
        <w:t xml:space="preserve">, Georgia City Solutions, the Georgia Center for Civic Engagement, and local Family Connection Collaboratives across the state </w:t>
      </w:r>
      <w:r w:rsidRPr="00600361">
        <w:rPr>
          <w:sz w:val="22"/>
          <w:szCs w:val="22"/>
        </w:rPr>
        <w:t>are embed</w:t>
      </w:r>
      <w:r w:rsidRPr="00D366E8">
        <w:rPr>
          <w:sz w:val="22"/>
          <w:szCs w:val="22"/>
        </w:rPr>
        <w:t>ding</w:t>
      </w:r>
      <w:r w:rsidRPr="00600361">
        <w:rPr>
          <w:sz w:val="22"/>
          <w:szCs w:val="22"/>
        </w:rPr>
        <w:t xml:space="preserve"> strategies to improve civic </w:t>
      </w:r>
      <w:r w:rsidR="001F2468">
        <w:rPr>
          <w:sz w:val="22"/>
          <w:szCs w:val="22"/>
        </w:rPr>
        <w:t xml:space="preserve">knowledge and </w:t>
      </w:r>
      <w:r w:rsidRPr="00600361">
        <w:rPr>
          <w:sz w:val="22"/>
          <w:szCs w:val="22"/>
        </w:rPr>
        <w:t xml:space="preserve">participation—informed by </w:t>
      </w:r>
      <w:r w:rsidRPr="00D366E8">
        <w:rPr>
          <w:sz w:val="22"/>
          <w:szCs w:val="22"/>
        </w:rPr>
        <w:t>10</w:t>
      </w:r>
      <w:r w:rsidRPr="00600361">
        <w:rPr>
          <w:sz w:val="22"/>
          <w:szCs w:val="22"/>
        </w:rPr>
        <w:t xml:space="preserve"> years of data—in all 159 counties across the state.</w:t>
      </w:r>
    </w:p>
    <w:p w14:paraId="1B6719FE" w14:textId="77777777" w:rsidR="000A2444" w:rsidRPr="00D366E8" w:rsidRDefault="000A2444" w:rsidP="000A2444">
      <w:pPr>
        <w:rPr>
          <w:sz w:val="22"/>
          <w:szCs w:val="22"/>
        </w:rPr>
      </w:pPr>
    </w:p>
    <w:p w14:paraId="5D5CDAEC" w14:textId="284DA829" w:rsidR="000A2444" w:rsidRPr="00D366E8" w:rsidRDefault="000A2444" w:rsidP="000A2444">
      <w:pPr>
        <w:rPr>
          <w:color w:val="000000" w:themeColor="text1"/>
          <w:sz w:val="22"/>
          <w:szCs w:val="22"/>
        </w:rPr>
      </w:pPr>
      <w:r w:rsidRPr="00D366E8">
        <w:rPr>
          <w:color w:val="000000" w:themeColor="text1"/>
          <w:sz w:val="22"/>
          <w:szCs w:val="22"/>
        </w:rPr>
        <w:t xml:space="preserve">“Gathering data is vital, but it’s not enough to equip all Georgians to fully participate in a democratic society,” </w:t>
      </w:r>
      <w:r w:rsidRPr="00D366E8">
        <w:rPr>
          <w:sz w:val="22"/>
          <w:szCs w:val="22"/>
        </w:rPr>
        <w:t xml:space="preserve">said </w:t>
      </w:r>
      <w:proofErr w:type="spellStart"/>
      <w:r w:rsidRPr="00D366E8">
        <w:rPr>
          <w:sz w:val="22"/>
          <w:szCs w:val="22"/>
        </w:rPr>
        <w:t>GaFCP</w:t>
      </w:r>
      <w:proofErr w:type="spellEnd"/>
      <w:r w:rsidRPr="00D366E8">
        <w:rPr>
          <w:sz w:val="22"/>
          <w:szCs w:val="22"/>
        </w:rPr>
        <w:t xml:space="preserve"> Executive Director Gaye Smith</w:t>
      </w:r>
      <w:r w:rsidRPr="00D366E8">
        <w:rPr>
          <w:color w:val="000000" w:themeColor="text1"/>
          <w:sz w:val="22"/>
          <w:szCs w:val="22"/>
        </w:rPr>
        <w:t>. “</w:t>
      </w:r>
      <w:r w:rsidRPr="00D366E8">
        <w:rPr>
          <w:sz w:val="22"/>
          <w:szCs w:val="22"/>
        </w:rPr>
        <w:t xml:space="preserve">While we still struggle to overcome our civic health issues in </w:t>
      </w:r>
      <w:r w:rsidRPr="00600361">
        <w:rPr>
          <w:sz w:val="22"/>
          <w:szCs w:val="22"/>
        </w:rPr>
        <w:t>Georgia</w:t>
      </w:r>
      <w:r w:rsidRPr="00D366E8">
        <w:rPr>
          <w:sz w:val="22"/>
          <w:szCs w:val="22"/>
        </w:rPr>
        <w:t xml:space="preserve">, </w:t>
      </w:r>
      <w:r w:rsidRPr="002D51DC">
        <w:rPr>
          <w:color w:val="000000" w:themeColor="text1"/>
          <w:sz w:val="22"/>
          <w:szCs w:val="22"/>
        </w:rPr>
        <w:t>we’</w:t>
      </w:r>
      <w:r w:rsidR="001A55F3" w:rsidRPr="002D51DC">
        <w:rPr>
          <w:color w:val="000000" w:themeColor="text1"/>
          <w:sz w:val="22"/>
          <w:szCs w:val="22"/>
        </w:rPr>
        <w:t>r</w:t>
      </w:r>
      <w:r w:rsidRPr="002D51DC">
        <w:rPr>
          <w:color w:val="000000" w:themeColor="text1"/>
          <w:sz w:val="22"/>
          <w:szCs w:val="22"/>
        </w:rPr>
        <w:t>e tak</w:t>
      </w:r>
      <w:r w:rsidR="001A55F3" w:rsidRPr="002D51DC">
        <w:rPr>
          <w:color w:val="000000" w:themeColor="text1"/>
          <w:sz w:val="22"/>
          <w:szCs w:val="22"/>
        </w:rPr>
        <w:t>ing</w:t>
      </w:r>
      <w:r w:rsidRPr="002D51DC">
        <w:rPr>
          <w:color w:val="000000" w:themeColor="text1"/>
          <w:sz w:val="22"/>
          <w:szCs w:val="22"/>
        </w:rPr>
        <w:t xml:space="preserve"> a collaborative approach that brings community members together, because th</w:t>
      </w:r>
      <w:r w:rsidR="002D51DC" w:rsidRPr="002D51DC">
        <w:rPr>
          <w:color w:val="000000" w:themeColor="text1"/>
          <w:sz w:val="22"/>
          <w:szCs w:val="22"/>
        </w:rPr>
        <w:t>at</w:t>
      </w:r>
      <w:r w:rsidRPr="002D51DC">
        <w:rPr>
          <w:color w:val="000000" w:themeColor="text1"/>
          <w:sz w:val="22"/>
          <w:szCs w:val="22"/>
        </w:rPr>
        <w:t xml:space="preserve"> is the core component of foster</w:t>
      </w:r>
      <w:r w:rsidR="001A55F3" w:rsidRPr="002D51DC">
        <w:rPr>
          <w:color w:val="000000" w:themeColor="text1"/>
          <w:sz w:val="22"/>
          <w:szCs w:val="22"/>
        </w:rPr>
        <w:t>ing</w:t>
      </w:r>
      <w:r w:rsidRPr="002D51DC">
        <w:rPr>
          <w:color w:val="000000" w:themeColor="text1"/>
          <w:sz w:val="22"/>
          <w:szCs w:val="22"/>
        </w:rPr>
        <w:t xml:space="preserve"> social </w:t>
      </w:r>
      <w:r w:rsidRPr="00D366E8">
        <w:rPr>
          <w:color w:val="000000" w:themeColor="text1"/>
          <w:sz w:val="22"/>
          <w:szCs w:val="22"/>
        </w:rPr>
        <w:t xml:space="preserve">connectedness, community involvement, and political action—and </w:t>
      </w:r>
      <w:r w:rsidRPr="002D51DC">
        <w:rPr>
          <w:color w:val="000000" w:themeColor="text1"/>
          <w:sz w:val="22"/>
          <w:szCs w:val="22"/>
        </w:rPr>
        <w:t>advanc</w:t>
      </w:r>
      <w:r w:rsidR="00B7235C" w:rsidRPr="002D51DC">
        <w:rPr>
          <w:color w:val="000000" w:themeColor="text1"/>
          <w:sz w:val="22"/>
          <w:szCs w:val="22"/>
        </w:rPr>
        <w:t>ing</w:t>
      </w:r>
      <w:r w:rsidRPr="002D51DC">
        <w:rPr>
          <w:color w:val="000000" w:themeColor="text1"/>
          <w:sz w:val="22"/>
          <w:szCs w:val="22"/>
        </w:rPr>
        <w:t xml:space="preserve"> improvement</w:t>
      </w:r>
      <w:r w:rsidR="00B7235C" w:rsidRPr="002D51DC">
        <w:rPr>
          <w:color w:val="000000" w:themeColor="text1"/>
          <w:sz w:val="22"/>
          <w:szCs w:val="22"/>
        </w:rPr>
        <w:t>s</w:t>
      </w:r>
      <w:r w:rsidRPr="002D51DC">
        <w:rPr>
          <w:color w:val="000000" w:themeColor="text1"/>
          <w:sz w:val="22"/>
          <w:szCs w:val="22"/>
        </w:rPr>
        <w:t xml:space="preserve"> </w:t>
      </w:r>
      <w:r w:rsidR="00B7235C" w:rsidRPr="002D51DC">
        <w:rPr>
          <w:color w:val="000000" w:themeColor="text1"/>
          <w:sz w:val="22"/>
          <w:szCs w:val="22"/>
        </w:rPr>
        <w:t>to</w:t>
      </w:r>
      <w:r w:rsidRPr="002D51DC">
        <w:rPr>
          <w:color w:val="000000" w:themeColor="text1"/>
          <w:sz w:val="22"/>
          <w:szCs w:val="22"/>
        </w:rPr>
        <w:t xml:space="preserve"> our state’s </w:t>
      </w:r>
      <w:r w:rsidRPr="00D366E8">
        <w:rPr>
          <w:color w:val="000000" w:themeColor="text1"/>
          <w:sz w:val="22"/>
          <w:szCs w:val="22"/>
        </w:rPr>
        <w:t>civic health.”</w:t>
      </w:r>
    </w:p>
    <w:p w14:paraId="094749C6" w14:textId="6C8EE925" w:rsidR="0011695F" w:rsidRPr="0011695F" w:rsidRDefault="0011695F" w:rsidP="000A2444">
      <w:pPr>
        <w:rPr>
          <w:sz w:val="22"/>
          <w:szCs w:val="22"/>
        </w:rPr>
      </w:pPr>
    </w:p>
    <w:p w14:paraId="23FA65FD" w14:textId="260DFB4C" w:rsidR="00970529" w:rsidRDefault="003C5E7E" w:rsidP="003C5E7E">
      <w:pPr>
        <w:pStyle w:val="ListParagraph"/>
        <w:ind w:left="0"/>
        <w:jc w:val="center"/>
      </w:pPr>
      <w:r>
        <w:rPr>
          <w:sz w:val="22"/>
          <w:szCs w:val="22"/>
        </w:rPr>
        <w:t>###</w:t>
      </w:r>
    </w:p>
    <w:p w14:paraId="375DBFFB" w14:textId="77777777" w:rsidR="002A28B4" w:rsidRDefault="002A28B4" w:rsidP="000A2444">
      <w:pPr>
        <w:rPr>
          <w:rFonts w:ascii="Arial" w:hAnsi="Arial" w:cs="Arial"/>
          <w:sz w:val="22"/>
          <w:szCs w:val="22"/>
        </w:rPr>
      </w:pPr>
    </w:p>
    <w:p w14:paraId="38BE56AC" w14:textId="5B0D126D" w:rsidR="000A2444" w:rsidRPr="000A2444" w:rsidRDefault="00300FD4" w:rsidP="000A2444">
      <w:pPr>
        <w:rPr>
          <w:rFonts w:ascii="Arial" w:hAnsi="Arial" w:cs="Arial"/>
          <w:sz w:val="20"/>
          <w:szCs w:val="20"/>
        </w:rPr>
      </w:pPr>
      <w:hyperlink r:id="rId9" w:history="1">
        <w:r w:rsidR="000A2444" w:rsidRPr="00300FD4">
          <w:rPr>
            <w:rStyle w:val="Hyperlink"/>
            <w:rFonts w:ascii="Arial" w:hAnsi="Arial" w:cs="Arial"/>
            <w:sz w:val="22"/>
            <w:szCs w:val="22"/>
          </w:rPr>
          <w:t>Download the 2023 Georgia Civic Health Index.</w:t>
        </w:r>
      </w:hyperlink>
    </w:p>
    <w:p w14:paraId="79BF0A14" w14:textId="77777777" w:rsidR="00246576" w:rsidRDefault="00246576" w:rsidP="00246576"/>
    <w:p w14:paraId="67CF7ED7" w14:textId="77777777" w:rsidR="000A2444" w:rsidRDefault="000A2444" w:rsidP="00246576">
      <w:pPr>
        <w:rPr>
          <w:rFonts w:ascii="Arial" w:hAnsi="Arial" w:cs="Arial"/>
          <w:b/>
          <w:bCs/>
          <w:sz w:val="20"/>
          <w:szCs w:val="20"/>
        </w:rPr>
      </w:pPr>
    </w:p>
    <w:p w14:paraId="1E67BAB1" w14:textId="4F7AEFF0" w:rsidR="00EA7DAC" w:rsidRDefault="00E97DFC" w:rsidP="002A28B4">
      <w:pPr>
        <w:rPr>
          <w:rFonts w:ascii="Arial" w:hAnsi="Arial" w:cs="Arial"/>
          <w:sz w:val="18"/>
          <w:szCs w:val="18"/>
        </w:rPr>
      </w:pPr>
      <w:r w:rsidRPr="002A28B4">
        <w:rPr>
          <w:rFonts w:ascii="Arial" w:hAnsi="Arial" w:cs="Arial"/>
          <w:b/>
          <w:bCs/>
          <w:sz w:val="18"/>
          <w:szCs w:val="18"/>
        </w:rPr>
        <w:t>Georgia Family Connection Partnership</w:t>
      </w:r>
      <w:r w:rsidRPr="002A28B4">
        <w:rPr>
          <w:rFonts w:ascii="Arial" w:hAnsi="Arial" w:cs="Arial"/>
          <w:sz w:val="18"/>
          <w:szCs w:val="18"/>
        </w:rPr>
        <w:t xml:space="preserve">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w:t>
      </w:r>
      <w:hyperlink r:id="rId10" w:history="1">
        <w:r w:rsidRPr="002A28B4">
          <w:rPr>
            <w:rStyle w:val="Hyperlink"/>
            <w:rFonts w:ascii="Arial" w:hAnsi="Arial" w:cs="Arial"/>
            <w:sz w:val="18"/>
            <w:szCs w:val="18"/>
          </w:rPr>
          <w:t>gafcp.org</w:t>
        </w:r>
      </w:hyperlink>
    </w:p>
    <w:p w14:paraId="49CEEA88" w14:textId="77777777" w:rsidR="002A28B4" w:rsidRPr="002A28B4" w:rsidRDefault="002A28B4" w:rsidP="002A28B4">
      <w:pPr>
        <w:rPr>
          <w:rFonts w:ascii="Arial" w:hAnsi="Arial" w:cs="Arial"/>
          <w:color w:val="000000" w:themeColor="text1"/>
          <w:sz w:val="18"/>
          <w:szCs w:val="18"/>
        </w:rPr>
      </w:pPr>
    </w:p>
    <w:p w14:paraId="7FA9D9CB" w14:textId="00B3A173" w:rsidR="00517DE9" w:rsidRPr="002A28B4" w:rsidRDefault="000A2444" w:rsidP="002A28B4">
      <w:pPr>
        <w:pStyle w:val="NormalWeb"/>
        <w:spacing w:before="0" w:beforeAutospacing="0" w:after="0" w:afterAutospacing="0"/>
        <w:rPr>
          <w:rFonts w:ascii="Arial" w:hAnsi="Arial" w:cs="Arial"/>
          <w:color w:val="000000" w:themeColor="text1"/>
          <w:sz w:val="18"/>
          <w:szCs w:val="18"/>
        </w:rPr>
      </w:pPr>
      <w:r w:rsidRPr="002A28B4">
        <w:rPr>
          <w:rFonts w:ascii="Arial" w:hAnsi="Arial" w:cs="Arial"/>
          <w:color w:val="000000" w:themeColor="text1"/>
          <w:sz w:val="18"/>
          <w:szCs w:val="18"/>
        </w:rPr>
        <w:t xml:space="preserve">Based in Atlanta, the </w:t>
      </w:r>
      <w:r w:rsidRPr="002A28B4">
        <w:rPr>
          <w:rFonts w:ascii="Arial" w:hAnsi="Arial" w:cs="Arial"/>
          <w:b/>
          <w:bCs/>
          <w:color w:val="000000" w:themeColor="text1"/>
          <w:sz w:val="18"/>
          <w:szCs w:val="18"/>
        </w:rPr>
        <w:t>Georgia Municipal Association</w:t>
      </w:r>
      <w:r w:rsidRPr="002A28B4">
        <w:rPr>
          <w:rFonts w:ascii="Arial" w:hAnsi="Arial" w:cs="Arial"/>
          <w:color w:val="000000" w:themeColor="text1"/>
          <w:sz w:val="18"/>
          <w:szCs w:val="18"/>
        </w:rPr>
        <w:t xml:space="preserve"> (GMA) is a voluntary, nonprofit organization that provides legislative advocacy, education, and employee benefit and consulting services to its 537 member cities. GMA’s mission is to anticipate and influence the forces shaping Georgia’s cities. </w:t>
      </w:r>
      <w:hyperlink r:id="rId11" w:history="1">
        <w:r w:rsidRPr="002A28B4">
          <w:rPr>
            <w:rStyle w:val="Hyperlink"/>
            <w:rFonts w:ascii="Arial" w:hAnsi="Arial" w:cs="Arial"/>
            <w:sz w:val="18"/>
            <w:szCs w:val="18"/>
          </w:rPr>
          <w:t>gacities.com</w:t>
        </w:r>
      </w:hyperlink>
    </w:p>
    <w:p w14:paraId="3147C9E1" w14:textId="77777777" w:rsidR="002A28B4" w:rsidRDefault="002A28B4" w:rsidP="002A28B4">
      <w:pPr>
        <w:pStyle w:val="NormalWeb"/>
        <w:spacing w:before="0" w:beforeAutospacing="0" w:after="0" w:afterAutospacing="0"/>
        <w:rPr>
          <w:rFonts w:ascii="Arial" w:hAnsi="Arial" w:cs="Arial"/>
          <w:color w:val="000000" w:themeColor="text1"/>
          <w:sz w:val="18"/>
          <w:szCs w:val="18"/>
        </w:rPr>
      </w:pPr>
    </w:p>
    <w:p w14:paraId="7CB07F96" w14:textId="22083E39" w:rsidR="000A2444" w:rsidRPr="002A28B4" w:rsidRDefault="000A2444" w:rsidP="002A28B4">
      <w:pPr>
        <w:pStyle w:val="NormalWeb"/>
        <w:spacing w:before="0" w:beforeAutospacing="0" w:after="0" w:afterAutospacing="0"/>
        <w:rPr>
          <w:rFonts w:ascii="Arial" w:hAnsi="Arial" w:cs="Arial"/>
          <w:color w:val="000000" w:themeColor="text1"/>
          <w:sz w:val="18"/>
          <w:szCs w:val="18"/>
        </w:rPr>
      </w:pPr>
      <w:r w:rsidRPr="002A28B4">
        <w:rPr>
          <w:rFonts w:ascii="Arial" w:hAnsi="Arial" w:cs="Arial"/>
          <w:color w:val="000000" w:themeColor="text1"/>
          <w:sz w:val="18"/>
          <w:szCs w:val="18"/>
        </w:rPr>
        <w:t xml:space="preserve">The Georgia Municipal Association created </w:t>
      </w:r>
      <w:r w:rsidRPr="002A28B4">
        <w:rPr>
          <w:rFonts w:ascii="Arial" w:hAnsi="Arial" w:cs="Arial"/>
          <w:b/>
          <w:bCs/>
          <w:color w:val="000000" w:themeColor="text1"/>
          <w:sz w:val="18"/>
          <w:szCs w:val="18"/>
        </w:rPr>
        <w:t>Georgia City Solutions, Inc.</w:t>
      </w:r>
      <w:r w:rsidRPr="002A28B4">
        <w:rPr>
          <w:rFonts w:ascii="Arial" w:hAnsi="Arial" w:cs="Arial"/>
          <w:color w:val="000000" w:themeColor="text1"/>
          <w:sz w:val="18"/>
          <w:szCs w:val="18"/>
        </w:rPr>
        <w:t xml:space="preserve"> to help cities address the challenges of intergenerational poverty. Its mission is to establish and support innovative programs, solutions, and research aimed at building vibrant, economically prosperous, and well-managed cities and improving municipal residents’ quality of life. </w:t>
      </w:r>
      <w:hyperlink r:id="rId12" w:history="1">
        <w:r w:rsidRPr="002A28B4">
          <w:rPr>
            <w:rStyle w:val="Hyperlink"/>
            <w:rFonts w:ascii="Arial" w:hAnsi="Arial" w:cs="Arial"/>
            <w:sz w:val="18"/>
            <w:szCs w:val="18"/>
          </w:rPr>
          <w:t>gacities.com/about/</w:t>
        </w:r>
        <w:proofErr w:type="spellStart"/>
        <w:r w:rsidRPr="002A28B4">
          <w:rPr>
            <w:rStyle w:val="Hyperlink"/>
            <w:rFonts w:ascii="Arial" w:hAnsi="Arial" w:cs="Arial"/>
            <w:sz w:val="18"/>
            <w:szCs w:val="18"/>
          </w:rPr>
          <w:t>georgia</w:t>
        </w:r>
        <w:proofErr w:type="spellEnd"/>
        <w:r w:rsidRPr="002A28B4">
          <w:rPr>
            <w:rStyle w:val="Hyperlink"/>
            <w:rFonts w:ascii="Arial" w:hAnsi="Arial" w:cs="Arial"/>
            <w:sz w:val="18"/>
            <w:szCs w:val="18"/>
          </w:rPr>
          <w:t>-city-solutions</w:t>
        </w:r>
      </w:hyperlink>
    </w:p>
    <w:p w14:paraId="4BFE265D" w14:textId="77777777" w:rsidR="002A28B4" w:rsidRDefault="002A28B4" w:rsidP="002A28B4">
      <w:pPr>
        <w:pStyle w:val="NormalWeb"/>
        <w:spacing w:before="0" w:beforeAutospacing="0" w:after="0" w:afterAutospacing="0"/>
        <w:rPr>
          <w:rFonts w:ascii="Arial" w:hAnsi="Arial" w:cs="Arial"/>
          <w:color w:val="000000" w:themeColor="text1"/>
          <w:sz w:val="18"/>
          <w:szCs w:val="18"/>
        </w:rPr>
      </w:pPr>
    </w:p>
    <w:p w14:paraId="75E52D5D" w14:textId="556CDA43" w:rsidR="000A2444" w:rsidRPr="002A28B4" w:rsidRDefault="000A2444" w:rsidP="002A28B4">
      <w:pPr>
        <w:pStyle w:val="NormalWeb"/>
        <w:spacing w:before="0" w:beforeAutospacing="0" w:after="0" w:afterAutospacing="0"/>
        <w:rPr>
          <w:rFonts w:ascii="Arial" w:hAnsi="Arial" w:cs="Arial"/>
          <w:color w:val="000000" w:themeColor="text1"/>
          <w:sz w:val="18"/>
          <w:szCs w:val="18"/>
        </w:rPr>
      </w:pPr>
      <w:r w:rsidRPr="002A28B4">
        <w:rPr>
          <w:rFonts w:ascii="Arial" w:hAnsi="Arial" w:cs="Arial"/>
          <w:color w:val="000000" w:themeColor="text1"/>
          <w:sz w:val="18"/>
          <w:szCs w:val="18"/>
        </w:rPr>
        <w:t xml:space="preserve">The </w:t>
      </w:r>
      <w:r w:rsidRPr="002A28B4">
        <w:rPr>
          <w:rFonts w:ascii="Arial" w:hAnsi="Arial" w:cs="Arial"/>
          <w:b/>
          <w:bCs/>
          <w:color w:val="000000" w:themeColor="text1"/>
          <w:sz w:val="18"/>
          <w:szCs w:val="18"/>
        </w:rPr>
        <w:t>National Conference on Citizenship</w:t>
      </w:r>
      <w:r w:rsidRPr="002A28B4">
        <w:rPr>
          <w:rFonts w:ascii="Arial" w:hAnsi="Arial" w:cs="Arial"/>
          <w:color w:val="000000" w:themeColor="text1"/>
          <w:sz w:val="18"/>
          <w:szCs w:val="18"/>
        </w:rPr>
        <w:t xml:space="preserve"> (</w:t>
      </w:r>
      <w:proofErr w:type="spellStart"/>
      <w:r w:rsidRPr="002A28B4">
        <w:rPr>
          <w:rFonts w:ascii="Arial" w:hAnsi="Arial" w:cs="Arial"/>
          <w:color w:val="000000" w:themeColor="text1"/>
          <w:sz w:val="18"/>
          <w:szCs w:val="18"/>
        </w:rPr>
        <w:t>NCoC</w:t>
      </w:r>
      <w:proofErr w:type="spellEnd"/>
      <w:r w:rsidRPr="002A28B4">
        <w:rPr>
          <w:rFonts w:ascii="Arial" w:hAnsi="Arial" w:cs="Arial"/>
          <w:color w:val="000000" w:themeColor="text1"/>
          <w:sz w:val="18"/>
          <w:szCs w:val="18"/>
        </w:rPr>
        <w:t xml:space="preserve">) pursues its mission through a nationwide network of partners involved in a cutting-edge civic health initiative and innovative national service project, and cross-sector conferences. At the core of </w:t>
      </w:r>
      <w:proofErr w:type="spellStart"/>
      <w:r w:rsidRPr="002A28B4">
        <w:rPr>
          <w:rFonts w:ascii="Arial" w:hAnsi="Arial" w:cs="Arial"/>
          <w:color w:val="000000" w:themeColor="text1"/>
          <w:sz w:val="18"/>
          <w:szCs w:val="18"/>
        </w:rPr>
        <w:t>NCoC’s</w:t>
      </w:r>
      <w:proofErr w:type="spellEnd"/>
      <w:r w:rsidRPr="002A28B4">
        <w:rPr>
          <w:rFonts w:ascii="Arial" w:hAnsi="Arial" w:cs="Arial"/>
          <w:color w:val="000000" w:themeColor="text1"/>
          <w:sz w:val="18"/>
          <w:szCs w:val="18"/>
        </w:rPr>
        <w:t xml:space="preserve"> joint efforts is the belief that every person </w:t>
      </w:r>
      <w:proofErr w:type="gramStart"/>
      <w:r w:rsidRPr="002A28B4">
        <w:rPr>
          <w:rFonts w:ascii="Arial" w:hAnsi="Arial" w:cs="Arial"/>
          <w:color w:val="000000" w:themeColor="text1"/>
          <w:sz w:val="18"/>
          <w:szCs w:val="18"/>
        </w:rPr>
        <w:t>has the ability to</w:t>
      </w:r>
      <w:proofErr w:type="gramEnd"/>
      <w:r w:rsidRPr="002A28B4">
        <w:rPr>
          <w:rFonts w:ascii="Arial" w:hAnsi="Arial" w:cs="Arial"/>
          <w:color w:val="000000" w:themeColor="text1"/>
          <w:sz w:val="18"/>
          <w:szCs w:val="18"/>
        </w:rPr>
        <w:t xml:space="preserve"> help his or her community and country thrive. </w:t>
      </w:r>
      <w:hyperlink r:id="rId13" w:history="1">
        <w:r w:rsidRPr="002A28B4">
          <w:rPr>
            <w:rStyle w:val="Hyperlink"/>
            <w:rFonts w:ascii="Arial" w:hAnsi="Arial" w:cs="Arial"/>
            <w:sz w:val="18"/>
            <w:szCs w:val="18"/>
          </w:rPr>
          <w:t>ncoc.org</w:t>
        </w:r>
      </w:hyperlink>
    </w:p>
    <w:sectPr w:rsidR="000A2444" w:rsidRPr="002A28B4" w:rsidSect="00D87193">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40F4" w14:textId="77777777" w:rsidR="00D87193" w:rsidRDefault="00D87193" w:rsidP="00DF5867">
      <w:r>
        <w:separator/>
      </w:r>
    </w:p>
  </w:endnote>
  <w:endnote w:type="continuationSeparator" w:id="0">
    <w:p w14:paraId="764B3E5C" w14:textId="77777777" w:rsidR="00D87193" w:rsidRDefault="00D87193"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ITC Officina Sans 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A0B2" w14:textId="77777777" w:rsidR="00D87193" w:rsidRDefault="00D87193" w:rsidP="00DF5867">
      <w:r>
        <w:separator/>
      </w:r>
    </w:p>
  </w:footnote>
  <w:footnote w:type="continuationSeparator" w:id="0">
    <w:p w14:paraId="04C8CDBE" w14:textId="77777777" w:rsidR="00D87193" w:rsidRDefault="00D87193"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469" w14:textId="44934E6C" w:rsidR="00DF5867" w:rsidRPr="00991E6D" w:rsidRDefault="00994F29">
    <w:pPr>
      <w:pStyle w:val="Header"/>
      <w:rPr>
        <w:rFonts w:ascii="Arial" w:hAnsi="Arial" w:cs="Arial"/>
        <w:sz w:val="18"/>
        <w:szCs w:val="18"/>
      </w:rPr>
    </w:pPr>
    <w:r w:rsidRPr="00994F29">
      <w:rPr>
        <w:rFonts w:ascii="Arial" w:hAnsi="Arial" w:cs="Arial"/>
        <w:b/>
        <w:bCs/>
        <w:sz w:val="18"/>
        <w:szCs w:val="18"/>
      </w:rPr>
      <w:t>Georgia’s Civic Health Still Not Strong</w:t>
    </w:r>
    <w:r w:rsidRPr="00600361">
      <w:rPr>
        <w:rFonts w:ascii="Arial" w:eastAsia="Times New Roman" w:hAnsi="Arial" w:cs="Arial"/>
        <w:b/>
        <w:bCs/>
        <w:sz w:val="18"/>
        <w:szCs w:val="18"/>
      </w:rPr>
      <w:t xml:space="preserve"> </w:t>
    </w:r>
    <w:r w:rsidR="00991E6D">
      <w:rPr>
        <w:rFonts w:ascii="Arial" w:hAnsi="Arial" w:cs="Arial"/>
        <w:b/>
        <w:bCs/>
        <w:color w:val="000000"/>
        <w:sz w:val="18"/>
        <w:szCs w:val="18"/>
      </w:rPr>
      <w:t>(cont.)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B29" w14:textId="2B777ECD" w:rsidR="00F730FA" w:rsidRDefault="00B22C19">
    <w:pPr>
      <w:pStyle w:val="Header"/>
    </w:pPr>
    <w:r w:rsidRPr="00AC1EAC">
      <w:rPr>
        <w:noProof/>
        <w:sz w:val="22"/>
        <w:szCs w:val="22"/>
      </w:rPr>
      <w:drawing>
        <wp:inline distT="0" distB="0" distL="0" distR="0" wp14:anchorId="20FCD3AD" wp14:editId="1E5155DD">
          <wp:extent cx="1222745" cy="1046020"/>
          <wp:effectExtent l="0" t="0" r="0" b="0"/>
          <wp:docPr id="1" name="Picture 3" descr="A logo for a family conn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logo for a family connec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264905" cy="1082086"/>
                  </a:xfrm>
                  <a:prstGeom prst="rect">
                    <a:avLst/>
                  </a:prstGeom>
                  <a:noFill/>
                  <a:ln>
                    <a:noFill/>
                  </a:ln>
                </pic:spPr>
              </pic:pic>
            </a:graphicData>
          </a:graphic>
        </wp:inline>
      </w:drawing>
    </w:r>
    <w:r>
      <w:t xml:space="preserve">   </w:t>
    </w:r>
    <w:r>
      <w:rPr>
        <w:noProof/>
      </w:rPr>
      <w:drawing>
        <wp:inline distT="0" distB="0" distL="0" distR="0" wp14:anchorId="7264DD99" wp14:editId="5EE6C9EE">
          <wp:extent cx="1598684" cy="516668"/>
          <wp:effectExtent l="0" t="0" r="1905" b="4445"/>
          <wp:docPr id="40105688"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5688" name="Picture 3"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1688" cy="582275"/>
                  </a:xfrm>
                  <a:prstGeom prst="rect">
                    <a:avLst/>
                  </a:prstGeom>
                </pic:spPr>
              </pic:pic>
            </a:graphicData>
          </a:graphic>
        </wp:inline>
      </w:drawing>
    </w:r>
    <w:r>
      <w:t xml:space="preserve">   </w:t>
    </w:r>
    <w:r>
      <w:rPr>
        <w:noProof/>
      </w:rPr>
      <w:drawing>
        <wp:inline distT="0" distB="0" distL="0" distR="0" wp14:anchorId="300E5A95" wp14:editId="756C9E99">
          <wp:extent cx="1416484" cy="522555"/>
          <wp:effectExtent l="0" t="0" r="0" b="0"/>
          <wp:docPr id="1045240893" name="Picture 4"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40893" name="Picture 4" descr="A logo of a city&#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55541" cy="573854"/>
                  </a:xfrm>
                  <a:prstGeom prst="rect">
                    <a:avLst/>
                  </a:prstGeom>
                </pic:spPr>
              </pic:pic>
            </a:graphicData>
          </a:graphic>
        </wp:inline>
      </w:drawing>
    </w:r>
    <w:r w:rsidR="002804BC">
      <w:t xml:space="preserve">   </w:t>
    </w:r>
    <w:r w:rsidR="002804BC">
      <w:rPr>
        <w:noProof/>
      </w:rPr>
      <w:drawing>
        <wp:inline distT="0" distB="0" distL="0" distR="0" wp14:anchorId="42A933FD" wp14:editId="0CE6F063">
          <wp:extent cx="1222744" cy="678400"/>
          <wp:effectExtent l="0" t="0" r="0" b="0"/>
          <wp:docPr id="1452921797" name="Picture 5"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921797" name="Picture 5" descr="A logo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04203" cy="72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476"/>
    <w:multiLevelType w:val="hybridMultilevel"/>
    <w:tmpl w:val="FA8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3C6D"/>
    <w:multiLevelType w:val="multilevel"/>
    <w:tmpl w:val="DCC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22730"/>
    <w:multiLevelType w:val="hybridMultilevel"/>
    <w:tmpl w:val="345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A7233"/>
    <w:multiLevelType w:val="multilevel"/>
    <w:tmpl w:val="D29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4081F"/>
    <w:multiLevelType w:val="hybridMultilevel"/>
    <w:tmpl w:val="6242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03009"/>
    <w:multiLevelType w:val="hybridMultilevel"/>
    <w:tmpl w:val="244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F017C"/>
    <w:multiLevelType w:val="multilevel"/>
    <w:tmpl w:val="2AEE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964522">
    <w:abstractNumId w:val="2"/>
  </w:num>
  <w:num w:numId="2" w16cid:durableId="97412497">
    <w:abstractNumId w:val="3"/>
  </w:num>
  <w:num w:numId="3" w16cid:durableId="1100947591">
    <w:abstractNumId w:val="1"/>
  </w:num>
  <w:num w:numId="4" w16cid:durableId="1721324981">
    <w:abstractNumId w:val="0"/>
  </w:num>
  <w:num w:numId="5" w16cid:durableId="540240233">
    <w:abstractNumId w:val="6"/>
  </w:num>
  <w:num w:numId="6" w16cid:durableId="1821919058">
    <w:abstractNumId w:val="5"/>
  </w:num>
  <w:num w:numId="7" w16cid:durableId="101341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0613B"/>
    <w:rsid w:val="000149A3"/>
    <w:rsid w:val="000340C7"/>
    <w:rsid w:val="00034D9D"/>
    <w:rsid w:val="000431A8"/>
    <w:rsid w:val="000437D9"/>
    <w:rsid w:val="00044E6B"/>
    <w:rsid w:val="00053830"/>
    <w:rsid w:val="00065286"/>
    <w:rsid w:val="00066FBC"/>
    <w:rsid w:val="000731EA"/>
    <w:rsid w:val="000809D8"/>
    <w:rsid w:val="00083FEF"/>
    <w:rsid w:val="00090FA1"/>
    <w:rsid w:val="00092055"/>
    <w:rsid w:val="000A2444"/>
    <w:rsid w:val="000A40A0"/>
    <w:rsid w:val="000A5107"/>
    <w:rsid w:val="000A540E"/>
    <w:rsid w:val="000A6674"/>
    <w:rsid w:val="000B7445"/>
    <w:rsid w:val="000C60E2"/>
    <w:rsid w:val="000D5B98"/>
    <w:rsid w:val="000D6481"/>
    <w:rsid w:val="000E1012"/>
    <w:rsid w:val="000E7DC7"/>
    <w:rsid w:val="00100F49"/>
    <w:rsid w:val="00101491"/>
    <w:rsid w:val="0010247F"/>
    <w:rsid w:val="0011695F"/>
    <w:rsid w:val="00144652"/>
    <w:rsid w:val="00153499"/>
    <w:rsid w:val="0015509E"/>
    <w:rsid w:val="00163CBE"/>
    <w:rsid w:val="0016519F"/>
    <w:rsid w:val="00181E7C"/>
    <w:rsid w:val="0019727B"/>
    <w:rsid w:val="001A114F"/>
    <w:rsid w:val="001A55F3"/>
    <w:rsid w:val="001A722A"/>
    <w:rsid w:val="001B0D8C"/>
    <w:rsid w:val="001C7D7A"/>
    <w:rsid w:val="001D1E17"/>
    <w:rsid w:val="001E2A3D"/>
    <w:rsid w:val="001E2AE3"/>
    <w:rsid w:val="001F2468"/>
    <w:rsid w:val="001F7B07"/>
    <w:rsid w:val="00201B9C"/>
    <w:rsid w:val="00203F75"/>
    <w:rsid w:val="0020748F"/>
    <w:rsid w:val="00207925"/>
    <w:rsid w:val="00210471"/>
    <w:rsid w:val="00210ABF"/>
    <w:rsid w:val="00211386"/>
    <w:rsid w:val="00211D86"/>
    <w:rsid w:val="00246576"/>
    <w:rsid w:val="00250B19"/>
    <w:rsid w:val="002607DB"/>
    <w:rsid w:val="002634D1"/>
    <w:rsid w:val="002804BC"/>
    <w:rsid w:val="00286B9E"/>
    <w:rsid w:val="0029262F"/>
    <w:rsid w:val="00294B8C"/>
    <w:rsid w:val="002A0771"/>
    <w:rsid w:val="002A0F36"/>
    <w:rsid w:val="002A2878"/>
    <w:rsid w:val="002A28B4"/>
    <w:rsid w:val="002B30C0"/>
    <w:rsid w:val="002B49BC"/>
    <w:rsid w:val="002C3A0A"/>
    <w:rsid w:val="002C4C70"/>
    <w:rsid w:val="002D51DC"/>
    <w:rsid w:val="002F2C81"/>
    <w:rsid w:val="00300FD4"/>
    <w:rsid w:val="00310EFA"/>
    <w:rsid w:val="003132B1"/>
    <w:rsid w:val="0031498F"/>
    <w:rsid w:val="003355CF"/>
    <w:rsid w:val="00340BBC"/>
    <w:rsid w:val="00350DFA"/>
    <w:rsid w:val="00364028"/>
    <w:rsid w:val="00370E75"/>
    <w:rsid w:val="00370F88"/>
    <w:rsid w:val="00374060"/>
    <w:rsid w:val="003853C3"/>
    <w:rsid w:val="003854AC"/>
    <w:rsid w:val="003901C1"/>
    <w:rsid w:val="00394668"/>
    <w:rsid w:val="00397FE4"/>
    <w:rsid w:val="003A00CF"/>
    <w:rsid w:val="003A3DBF"/>
    <w:rsid w:val="003A6709"/>
    <w:rsid w:val="003C0CE9"/>
    <w:rsid w:val="003C1E4B"/>
    <w:rsid w:val="003C299B"/>
    <w:rsid w:val="003C5E7E"/>
    <w:rsid w:val="003D347B"/>
    <w:rsid w:val="003D3A5A"/>
    <w:rsid w:val="003F7C55"/>
    <w:rsid w:val="0040606A"/>
    <w:rsid w:val="00411BC1"/>
    <w:rsid w:val="0041297E"/>
    <w:rsid w:val="00415537"/>
    <w:rsid w:val="00417355"/>
    <w:rsid w:val="00425652"/>
    <w:rsid w:val="00425BD0"/>
    <w:rsid w:val="00432A5B"/>
    <w:rsid w:val="00434897"/>
    <w:rsid w:val="00444611"/>
    <w:rsid w:val="004A0B97"/>
    <w:rsid w:val="004A4BDB"/>
    <w:rsid w:val="004A5110"/>
    <w:rsid w:val="004B6401"/>
    <w:rsid w:val="004C0597"/>
    <w:rsid w:val="004C708F"/>
    <w:rsid w:val="004C777F"/>
    <w:rsid w:val="004D1F07"/>
    <w:rsid w:val="004D6AAB"/>
    <w:rsid w:val="004D71D1"/>
    <w:rsid w:val="004F32D2"/>
    <w:rsid w:val="004F55A5"/>
    <w:rsid w:val="004F7FE4"/>
    <w:rsid w:val="00507D20"/>
    <w:rsid w:val="00510C18"/>
    <w:rsid w:val="00517DE9"/>
    <w:rsid w:val="00522EBC"/>
    <w:rsid w:val="0052572D"/>
    <w:rsid w:val="00530B06"/>
    <w:rsid w:val="00542074"/>
    <w:rsid w:val="005441EE"/>
    <w:rsid w:val="0054479D"/>
    <w:rsid w:val="005508AA"/>
    <w:rsid w:val="00557E0F"/>
    <w:rsid w:val="00560DA1"/>
    <w:rsid w:val="00564289"/>
    <w:rsid w:val="00566E4C"/>
    <w:rsid w:val="00585ABF"/>
    <w:rsid w:val="00587061"/>
    <w:rsid w:val="00590B8A"/>
    <w:rsid w:val="00596912"/>
    <w:rsid w:val="005974B6"/>
    <w:rsid w:val="005977FE"/>
    <w:rsid w:val="005A5E21"/>
    <w:rsid w:val="005C1C1F"/>
    <w:rsid w:val="005C375D"/>
    <w:rsid w:val="005C5F13"/>
    <w:rsid w:val="005D3F9B"/>
    <w:rsid w:val="005E0DAD"/>
    <w:rsid w:val="005E324B"/>
    <w:rsid w:val="005E484E"/>
    <w:rsid w:val="005F0FAB"/>
    <w:rsid w:val="005F2AEE"/>
    <w:rsid w:val="00602856"/>
    <w:rsid w:val="00604AE8"/>
    <w:rsid w:val="00605C55"/>
    <w:rsid w:val="006119CB"/>
    <w:rsid w:val="00615C88"/>
    <w:rsid w:val="00626FBB"/>
    <w:rsid w:val="00635A41"/>
    <w:rsid w:val="00646AFE"/>
    <w:rsid w:val="0065715F"/>
    <w:rsid w:val="00661734"/>
    <w:rsid w:val="00664C6D"/>
    <w:rsid w:val="00667C80"/>
    <w:rsid w:val="00672D9C"/>
    <w:rsid w:val="006805F2"/>
    <w:rsid w:val="00681370"/>
    <w:rsid w:val="0068684C"/>
    <w:rsid w:val="00692109"/>
    <w:rsid w:val="00692F7A"/>
    <w:rsid w:val="006B7B76"/>
    <w:rsid w:val="006C19E4"/>
    <w:rsid w:val="006C2D69"/>
    <w:rsid w:val="006C66E9"/>
    <w:rsid w:val="006C7677"/>
    <w:rsid w:val="006C7690"/>
    <w:rsid w:val="006D3670"/>
    <w:rsid w:val="006D645C"/>
    <w:rsid w:val="006E727A"/>
    <w:rsid w:val="006F0015"/>
    <w:rsid w:val="006F525F"/>
    <w:rsid w:val="00702362"/>
    <w:rsid w:val="00710CE5"/>
    <w:rsid w:val="007355BF"/>
    <w:rsid w:val="00743831"/>
    <w:rsid w:val="00751568"/>
    <w:rsid w:val="007536DA"/>
    <w:rsid w:val="007569E3"/>
    <w:rsid w:val="007670D5"/>
    <w:rsid w:val="00777898"/>
    <w:rsid w:val="00782205"/>
    <w:rsid w:val="00786A46"/>
    <w:rsid w:val="007A4503"/>
    <w:rsid w:val="007A4720"/>
    <w:rsid w:val="007B57ED"/>
    <w:rsid w:val="007B6F49"/>
    <w:rsid w:val="007B788F"/>
    <w:rsid w:val="007C76A8"/>
    <w:rsid w:val="007E1D24"/>
    <w:rsid w:val="007F2B33"/>
    <w:rsid w:val="007F7330"/>
    <w:rsid w:val="0080372C"/>
    <w:rsid w:val="008041DE"/>
    <w:rsid w:val="00816041"/>
    <w:rsid w:val="00832222"/>
    <w:rsid w:val="00833971"/>
    <w:rsid w:val="00840DA3"/>
    <w:rsid w:val="00860C1E"/>
    <w:rsid w:val="00862339"/>
    <w:rsid w:val="00883BF1"/>
    <w:rsid w:val="0088730E"/>
    <w:rsid w:val="0089242B"/>
    <w:rsid w:val="008A42A1"/>
    <w:rsid w:val="008B18ED"/>
    <w:rsid w:val="008B4882"/>
    <w:rsid w:val="008B781A"/>
    <w:rsid w:val="008C149B"/>
    <w:rsid w:val="008C4627"/>
    <w:rsid w:val="008D2A3D"/>
    <w:rsid w:val="008D4C38"/>
    <w:rsid w:val="008D5E32"/>
    <w:rsid w:val="008E5250"/>
    <w:rsid w:val="008F084C"/>
    <w:rsid w:val="008F1375"/>
    <w:rsid w:val="008F61A0"/>
    <w:rsid w:val="008F7C20"/>
    <w:rsid w:val="0091246C"/>
    <w:rsid w:val="009155F1"/>
    <w:rsid w:val="009175FB"/>
    <w:rsid w:val="00933ECA"/>
    <w:rsid w:val="00934E7E"/>
    <w:rsid w:val="00942D51"/>
    <w:rsid w:val="00944B78"/>
    <w:rsid w:val="009469FA"/>
    <w:rsid w:val="009502FF"/>
    <w:rsid w:val="009531A9"/>
    <w:rsid w:val="0095352A"/>
    <w:rsid w:val="00955F98"/>
    <w:rsid w:val="00964BD0"/>
    <w:rsid w:val="00970529"/>
    <w:rsid w:val="00990455"/>
    <w:rsid w:val="00991E6D"/>
    <w:rsid w:val="00993052"/>
    <w:rsid w:val="00994F29"/>
    <w:rsid w:val="009B0D10"/>
    <w:rsid w:val="009B5DC8"/>
    <w:rsid w:val="009B7565"/>
    <w:rsid w:val="009C1B6B"/>
    <w:rsid w:val="009C3443"/>
    <w:rsid w:val="009C4E76"/>
    <w:rsid w:val="009D15E5"/>
    <w:rsid w:val="009D69A0"/>
    <w:rsid w:val="009D7A78"/>
    <w:rsid w:val="009E1909"/>
    <w:rsid w:val="009F51FA"/>
    <w:rsid w:val="00A055DE"/>
    <w:rsid w:val="00A156F3"/>
    <w:rsid w:val="00A20BDC"/>
    <w:rsid w:val="00A377AC"/>
    <w:rsid w:val="00A40EA6"/>
    <w:rsid w:val="00A45A78"/>
    <w:rsid w:val="00A537D6"/>
    <w:rsid w:val="00A700F3"/>
    <w:rsid w:val="00A8130D"/>
    <w:rsid w:val="00A83342"/>
    <w:rsid w:val="00A86CBE"/>
    <w:rsid w:val="00A876A0"/>
    <w:rsid w:val="00A95C3E"/>
    <w:rsid w:val="00AA6993"/>
    <w:rsid w:val="00AA704B"/>
    <w:rsid w:val="00AC18B0"/>
    <w:rsid w:val="00AC1EAC"/>
    <w:rsid w:val="00AC4340"/>
    <w:rsid w:val="00AD4063"/>
    <w:rsid w:val="00AD63F1"/>
    <w:rsid w:val="00AE0439"/>
    <w:rsid w:val="00AE6450"/>
    <w:rsid w:val="00B014EC"/>
    <w:rsid w:val="00B04689"/>
    <w:rsid w:val="00B04A46"/>
    <w:rsid w:val="00B22C19"/>
    <w:rsid w:val="00B274DD"/>
    <w:rsid w:val="00B301C1"/>
    <w:rsid w:val="00B30BD3"/>
    <w:rsid w:val="00B32C2E"/>
    <w:rsid w:val="00B349A9"/>
    <w:rsid w:val="00B3765E"/>
    <w:rsid w:val="00B437BB"/>
    <w:rsid w:val="00B53E9A"/>
    <w:rsid w:val="00B67E6A"/>
    <w:rsid w:val="00B7235C"/>
    <w:rsid w:val="00B75A1F"/>
    <w:rsid w:val="00B84B8B"/>
    <w:rsid w:val="00BA045D"/>
    <w:rsid w:val="00BA7978"/>
    <w:rsid w:val="00BB1413"/>
    <w:rsid w:val="00BB445D"/>
    <w:rsid w:val="00BB4B5C"/>
    <w:rsid w:val="00BC362A"/>
    <w:rsid w:val="00BC5A96"/>
    <w:rsid w:val="00BE1762"/>
    <w:rsid w:val="00BE5AC3"/>
    <w:rsid w:val="00C02372"/>
    <w:rsid w:val="00C169B2"/>
    <w:rsid w:val="00C33C16"/>
    <w:rsid w:val="00C57FEC"/>
    <w:rsid w:val="00C7345D"/>
    <w:rsid w:val="00C91CE0"/>
    <w:rsid w:val="00CA659A"/>
    <w:rsid w:val="00CA72E8"/>
    <w:rsid w:val="00CA7B78"/>
    <w:rsid w:val="00CB187A"/>
    <w:rsid w:val="00CB5404"/>
    <w:rsid w:val="00CC11DB"/>
    <w:rsid w:val="00CC2F1C"/>
    <w:rsid w:val="00CC4CAA"/>
    <w:rsid w:val="00CC63C4"/>
    <w:rsid w:val="00CE2F0E"/>
    <w:rsid w:val="00CF1A50"/>
    <w:rsid w:val="00CF6278"/>
    <w:rsid w:val="00D22236"/>
    <w:rsid w:val="00D27BAA"/>
    <w:rsid w:val="00D3723E"/>
    <w:rsid w:val="00D37862"/>
    <w:rsid w:val="00D704E4"/>
    <w:rsid w:val="00D71EF6"/>
    <w:rsid w:val="00D73A7A"/>
    <w:rsid w:val="00D80803"/>
    <w:rsid w:val="00D87193"/>
    <w:rsid w:val="00D92F09"/>
    <w:rsid w:val="00D97E38"/>
    <w:rsid w:val="00DA1505"/>
    <w:rsid w:val="00DA4638"/>
    <w:rsid w:val="00DF5867"/>
    <w:rsid w:val="00E11B89"/>
    <w:rsid w:val="00E3290A"/>
    <w:rsid w:val="00E366A9"/>
    <w:rsid w:val="00E462C1"/>
    <w:rsid w:val="00E46AB0"/>
    <w:rsid w:val="00E573E1"/>
    <w:rsid w:val="00E71BD2"/>
    <w:rsid w:val="00E72C89"/>
    <w:rsid w:val="00E74504"/>
    <w:rsid w:val="00E82A9D"/>
    <w:rsid w:val="00E849A2"/>
    <w:rsid w:val="00E95976"/>
    <w:rsid w:val="00E97DFC"/>
    <w:rsid w:val="00EA00D6"/>
    <w:rsid w:val="00EA7DAC"/>
    <w:rsid w:val="00EC5F41"/>
    <w:rsid w:val="00ED4D9C"/>
    <w:rsid w:val="00EE770B"/>
    <w:rsid w:val="00F119FE"/>
    <w:rsid w:val="00F31692"/>
    <w:rsid w:val="00F32662"/>
    <w:rsid w:val="00F43CB8"/>
    <w:rsid w:val="00F47E3E"/>
    <w:rsid w:val="00F623C1"/>
    <w:rsid w:val="00F65123"/>
    <w:rsid w:val="00F730FA"/>
    <w:rsid w:val="00F87269"/>
    <w:rsid w:val="00FB0D47"/>
    <w:rsid w:val="00FB3919"/>
    <w:rsid w:val="00FB4038"/>
    <w:rsid w:val="00FC2B21"/>
    <w:rsid w:val="00FD2A6E"/>
    <w:rsid w:val="00FD5D94"/>
    <w:rsid w:val="00FE4E7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7B45"/>
  <w15:docId w15:val="{3B7ED8CF-3FEF-F44C-A1A8-D33D2B79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paragraph" w:styleId="Heading5">
    <w:name w:val="heading 5"/>
    <w:basedOn w:val="Normal"/>
    <w:link w:val="Heading5Char"/>
    <w:uiPriority w:val="9"/>
    <w:qFormat/>
    <w:rsid w:val="00F8726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unhideWhenUsed/>
    <w:rsid w:val="00CF6278"/>
    <w:rPr>
      <w:rFonts w:ascii="Calibri" w:eastAsia="Calibri" w:hAnsi="Calibri"/>
      <w:sz w:val="20"/>
      <w:szCs w:val="20"/>
    </w:rPr>
  </w:style>
  <w:style w:type="character" w:customStyle="1" w:styleId="CommentTextChar">
    <w:name w:val="Comment Text Char"/>
    <w:link w:val="CommentText"/>
    <w:uiPriority w:val="99"/>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 w:type="paragraph" w:styleId="ListParagraph">
    <w:name w:val="List Paragraph"/>
    <w:basedOn w:val="Normal"/>
    <w:uiPriority w:val="34"/>
    <w:qFormat/>
    <w:rsid w:val="00970529"/>
    <w:pPr>
      <w:ind w:left="720"/>
      <w:contextualSpacing/>
    </w:pPr>
  </w:style>
  <w:style w:type="paragraph" w:customStyle="1" w:styleId="font8">
    <w:name w:val="font_8"/>
    <w:basedOn w:val="Normal"/>
    <w:rsid w:val="0011695F"/>
    <w:pPr>
      <w:spacing w:before="100" w:beforeAutospacing="1" w:after="100" w:afterAutospacing="1"/>
    </w:pPr>
  </w:style>
  <w:style w:type="character" w:customStyle="1" w:styleId="markedcontent">
    <w:name w:val="markedcontent"/>
    <w:basedOn w:val="DefaultParagraphFont"/>
    <w:rsid w:val="00692109"/>
  </w:style>
  <w:style w:type="character" w:customStyle="1" w:styleId="Heading5Char">
    <w:name w:val="Heading 5 Char"/>
    <w:basedOn w:val="DefaultParagraphFont"/>
    <w:link w:val="Heading5"/>
    <w:uiPriority w:val="9"/>
    <w:rsid w:val="00F87269"/>
    <w:rPr>
      <w:rFonts w:ascii="Times New Roman" w:eastAsia="Times New Roman" w:hAnsi="Times New Roman"/>
      <w:b/>
      <w:bCs/>
    </w:rPr>
  </w:style>
  <w:style w:type="character" w:customStyle="1" w:styleId="hgkelc">
    <w:name w:val="hgkelc"/>
    <w:basedOn w:val="DefaultParagraphFont"/>
    <w:rsid w:val="000A2444"/>
  </w:style>
  <w:style w:type="paragraph" w:customStyle="1" w:styleId="Default">
    <w:name w:val="Default"/>
    <w:rsid w:val="000A2444"/>
    <w:pPr>
      <w:autoSpaceDE w:val="0"/>
      <w:autoSpaceDN w:val="0"/>
      <w:adjustRightInd w:val="0"/>
    </w:pPr>
    <w:rPr>
      <w:rFonts w:ascii="Franklin Gothic Book" w:eastAsiaTheme="minorHAnsi" w:hAnsi="Franklin Gothic Book" w:cs="Franklin Gothic Book"/>
      <w:color w:val="000000"/>
      <w:sz w:val="24"/>
      <w:szCs w:val="24"/>
    </w:rPr>
  </w:style>
  <w:style w:type="paragraph" w:customStyle="1" w:styleId="Pa1">
    <w:name w:val="Pa1"/>
    <w:basedOn w:val="Default"/>
    <w:next w:val="Default"/>
    <w:uiPriority w:val="99"/>
    <w:rsid w:val="000A2444"/>
    <w:pPr>
      <w:spacing w:line="181" w:lineRule="atLeast"/>
    </w:pPr>
    <w:rPr>
      <w:rFonts w:cstheme="minorBidi"/>
      <w:color w:val="auto"/>
    </w:rPr>
  </w:style>
  <w:style w:type="paragraph" w:customStyle="1" w:styleId="Pa4">
    <w:name w:val="Pa4"/>
    <w:basedOn w:val="Default"/>
    <w:next w:val="Default"/>
    <w:uiPriority w:val="99"/>
    <w:rsid w:val="000A2444"/>
    <w:pPr>
      <w:spacing w:line="181" w:lineRule="atLeast"/>
    </w:pPr>
    <w:rPr>
      <w:rFonts w:ascii="ITC Officina Sans Book" w:eastAsia="Calibri" w:hAnsi="ITC Officina Sans Book" w:cs="Times New Roman"/>
      <w:color w:val="auto"/>
    </w:rPr>
  </w:style>
  <w:style w:type="character" w:customStyle="1" w:styleId="A5">
    <w:name w:val="A5"/>
    <w:uiPriority w:val="99"/>
    <w:rsid w:val="000A2444"/>
    <w:rPr>
      <w:rFonts w:cs="ITC Officina Sans Book"/>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42419936">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481775783">
      <w:bodyDiv w:val="1"/>
      <w:marLeft w:val="0"/>
      <w:marRight w:val="0"/>
      <w:marTop w:val="0"/>
      <w:marBottom w:val="0"/>
      <w:divBdr>
        <w:top w:val="none" w:sz="0" w:space="0" w:color="auto"/>
        <w:left w:val="none" w:sz="0" w:space="0" w:color="auto"/>
        <w:bottom w:val="none" w:sz="0" w:space="0" w:color="auto"/>
        <w:right w:val="none" w:sz="0" w:space="0" w:color="auto"/>
      </w:divBdr>
    </w:div>
    <w:div w:id="494999789">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953947779">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168864151">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496722581">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1685935178">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ystin@gafcp.org" TargetMode="External"/><Relationship Id="rId13" Type="http://schemas.openxmlformats.org/officeDocument/2006/relationships/hyperlink" Target="https://nco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ties.com/About/Georgia-City-Solution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ties.com/Hom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afcp.org/" TargetMode="External"/><Relationship Id="rId4" Type="http://schemas.openxmlformats.org/officeDocument/2006/relationships/settings" Target="settings.xml"/><Relationship Id="rId9" Type="http://schemas.openxmlformats.org/officeDocument/2006/relationships/hyperlink" Target="https://gafcp.org/2023/12/14/georgias-civic-health-still-not-strong-despite-a-rise-in-voter-turnou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10</cp:revision>
  <cp:lastPrinted>2019-06-17T11:08:00Z</cp:lastPrinted>
  <dcterms:created xsi:type="dcterms:W3CDTF">2023-12-11T17:02:00Z</dcterms:created>
  <dcterms:modified xsi:type="dcterms:W3CDTF">2023-12-14T18:59:00Z</dcterms:modified>
</cp:coreProperties>
</file>